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8512F5" w14:textId="6E41860B" w:rsidR="00414FFB" w:rsidRPr="00DB3EA1" w:rsidRDefault="00414FFB" w:rsidP="00414FFB">
      <w:pPr>
        <w:tabs>
          <w:tab w:val="left" w:pos="6521"/>
        </w:tabs>
        <w:rPr>
          <w:rFonts w:ascii="Arial" w:hAnsi="Arial"/>
          <w:i/>
          <w:sz w:val="24"/>
          <w:szCs w:val="24"/>
        </w:rPr>
      </w:pPr>
      <w:bookmarkStart w:id="0" w:name="OLE_LINK1"/>
      <w:r>
        <w:rPr>
          <w:rFonts w:ascii="Arial" w:hAnsi="Arial" w:cs="Arial"/>
          <w:b/>
          <w:bCs/>
          <w:sz w:val="24"/>
          <w:szCs w:val="24"/>
        </w:rPr>
        <w:t>3</w:t>
      </w:r>
      <w:r w:rsidRPr="00DB3EA1">
        <w:rPr>
          <w:rFonts w:ascii="Arial" w:hAnsi="Arial" w:cs="Arial"/>
          <w:b/>
          <w:bCs/>
          <w:sz w:val="24"/>
          <w:szCs w:val="24"/>
        </w:rPr>
        <w:t>GPP TSG RAN WG1 #10</w:t>
      </w:r>
      <w:r>
        <w:rPr>
          <w:rFonts w:ascii="Arial" w:hAnsi="Arial" w:cs="Arial"/>
          <w:b/>
          <w:bCs/>
          <w:sz w:val="24"/>
          <w:szCs w:val="24"/>
        </w:rPr>
        <w:t>7-e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A6964" w:rsidRPr="000A6964">
        <w:rPr>
          <w:rFonts w:ascii="Arial" w:hAnsi="Arial"/>
          <w:b/>
          <w:sz w:val="24"/>
          <w:szCs w:val="24"/>
        </w:rPr>
        <w:t>R1-2111737</w:t>
      </w:r>
    </w:p>
    <w:p w14:paraId="723797EF" w14:textId="42351A8B" w:rsidR="007A57E2" w:rsidRPr="001F2CD1" w:rsidRDefault="00414FFB" w:rsidP="00414FFB">
      <w:pPr>
        <w:pStyle w:val="a4"/>
        <w:spacing w:after="240"/>
        <w:rPr>
          <w:rFonts w:eastAsia="맑은 고딕"/>
          <w:noProof w:val="0"/>
          <w:color w:val="000000"/>
          <w:sz w:val="24"/>
          <w:szCs w:val="24"/>
          <w:lang w:val="en-US" w:eastAsia="ko-KR"/>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November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F9655A" w:rsidRPr="00E17817">
        <w:rPr>
          <w:rFonts w:cs="Arial"/>
          <w:bCs/>
          <w:sz w:val="24"/>
          <w:szCs w:val="24"/>
          <w:lang w:eastAsia="ja-JP"/>
        </w:rPr>
        <w:t>202</w:t>
      </w:r>
      <w:r w:rsidR="00F714DB">
        <w:rPr>
          <w:rFonts w:cs="Arial"/>
          <w:bCs/>
          <w:sz w:val="24"/>
          <w:szCs w:val="24"/>
          <w:lang w:eastAsia="ja-JP"/>
        </w:rPr>
        <w:t>1</w:t>
      </w:r>
    </w:p>
    <w:p w14:paraId="59CC9F23" w14:textId="7900F98D"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1" w:name="Source"/>
      <w:bookmarkEnd w:id="1"/>
      <w:r w:rsidR="009473E6">
        <w:rPr>
          <w:rFonts w:ascii="Arial" w:hAnsi="Arial"/>
          <w:color w:val="000000"/>
          <w:sz w:val="24"/>
          <w:szCs w:val="24"/>
        </w:rPr>
        <w:t>8.4.</w:t>
      </w:r>
      <w:r w:rsidR="004552E9">
        <w:rPr>
          <w:rFonts w:ascii="Arial" w:hAnsi="Arial"/>
          <w:color w:val="000000"/>
          <w:sz w:val="24"/>
          <w:szCs w:val="24"/>
        </w:rPr>
        <w:t>4</w:t>
      </w:r>
    </w:p>
    <w:p w14:paraId="1A01F089"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0"/>
    <w:p w14:paraId="5775840C" w14:textId="6A3C6D95"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24983" w:rsidRPr="00B24983">
        <w:rPr>
          <w:rFonts w:ascii="Arial" w:eastAsia="맑은 고딕" w:hAnsi="Arial"/>
          <w:color w:val="000000"/>
          <w:sz w:val="24"/>
        </w:rPr>
        <w:t xml:space="preserve">Remaining </w:t>
      </w:r>
      <w:r w:rsidR="004552E9">
        <w:rPr>
          <w:rFonts w:ascii="Arial" w:eastAsia="맑은 고딕" w:hAnsi="Arial"/>
          <w:color w:val="000000"/>
          <w:sz w:val="24"/>
        </w:rPr>
        <w:t>issues for NTN</w:t>
      </w:r>
    </w:p>
    <w:p w14:paraId="525796C0"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2" w:name="DocumentFor"/>
      <w:bookmarkEnd w:id="2"/>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53F2E27"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54F16550" w14:textId="1BA0C8C0" w:rsidR="00C759DF" w:rsidRDefault="00EB39B9" w:rsidP="008378E3">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discuss the </w:t>
      </w:r>
      <w:r>
        <w:rPr>
          <w:rFonts w:eastAsia="맑은 고딕"/>
          <w:color w:val="000000"/>
          <w:sz w:val="22"/>
          <w:szCs w:val="22"/>
        </w:rPr>
        <w:t>other issues</w:t>
      </w:r>
      <w:r w:rsidRPr="001D75BE">
        <w:rPr>
          <w:rFonts w:eastAsia="맑은 고딕"/>
          <w:color w:val="000000"/>
          <w:sz w:val="22"/>
          <w:szCs w:val="22"/>
        </w:rPr>
        <w:t xml:space="preserve"> for NTN</w:t>
      </w:r>
      <w:r>
        <w:rPr>
          <w:rFonts w:eastAsia="맑은 고딕"/>
          <w:color w:val="000000"/>
          <w:sz w:val="22"/>
          <w:szCs w:val="22"/>
        </w:rPr>
        <w:t xml:space="preserve"> [1]</w:t>
      </w:r>
      <w:r w:rsidR="008378E3">
        <w:rPr>
          <w:rFonts w:eastAsia="맑은 고딕"/>
          <w:color w:val="000000"/>
          <w:sz w:val="22"/>
          <w:szCs w:val="22"/>
        </w:rPr>
        <w:t xml:space="preserve">. </w:t>
      </w:r>
      <w:r w:rsidR="00C759DF">
        <w:rPr>
          <w:rFonts w:eastAsia="맑은 고딕" w:hint="eastAsia"/>
          <w:color w:val="000000"/>
          <w:sz w:val="22"/>
          <w:szCs w:val="22"/>
        </w:rPr>
        <w:t>I</w:t>
      </w:r>
      <w:r w:rsidR="00C759DF">
        <w:rPr>
          <w:rFonts w:eastAsia="맑은 고딕"/>
          <w:color w:val="000000"/>
          <w:sz w:val="22"/>
          <w:szCs w:val="22"/>
        </w:rPr>
        <w:t>n RAN1#10</w:t>
      </w:r>
      <w:r>
        <w:rPr>
          <w:rFonts w:eastAsia="맑은 고딕"/>
          <w:color w:val="000000"/>
          <w:sz w:val="22"/>
          <w:szCs w:val="22"/>
        </w:rPr>
        <w:t>6</w:t>
      </w:r>
      <w:r w:rsidR="00C759DF">
        <w:rPr>
          <w:rFonts w:eastAsia="맑은 고딕"/>
          <w:color w:val="000000"/>
          <w:sz w:val="22"/>
          <w:szCs w:val="22"/>
        </w:rPr>
        <w:t>-e</w:t>
      </w:r>
      <w:r w:rsidR="000E6C69">
        <w:rPr>
          <w:rFonts w:eastAsia="맑은 고딕"/>
          <w:color w:val="000000"/>
          <w:sz w:val="22"/>
          <w:szCs w:val="22"/>
        </w:rPr>
        <w:t xml:space="preserve"> and RAN1#106b-e</w:t>
      </w:r>
      <w:r w:rsidR="00C759DF">
        <w:rPr>
          <w:rFonts w:eastAsia="맑은 고딕"/>
          <w:color w:val="000000"/>
          <w:sz w:val="22"/>
          <w:szCs w:val="22"/>
        </w:rPr>
        <w:t>, the following agreement w</w:t>
      </w:r>
      <w:r>
        <w:rPr>
          <w:rFonts w:eastAsia="맑은 고딕" w:hint="eastAsia"/>
          <w:color w:val="000000"/>
          <w:sz w:val="22"/>
          <w:szCs w:val="22"/>
        </w:rPr>
        <w:t>as</w:t>
      </w:r>
      <w:r w:rsidR="00C81AC3">
        <w:rPr>
          <w:rFonts w:eastAsia="맑은 고딕"/>
          <w:color w:val="000000"/>
          <w:sz w:val="22"/>
          <w:szCs w:val="22"/>
        </w:rPr>
        <w:t xml:space="preserve"> made </w:t>
      </w:r>
    </w:p>
    <w:tbl>
      <w:tblPr>
        <w:tblStyle w:val="aff"/>
        <w:tblW w:w="0" w:type="auto"/>
        <w:tblLook w:val="04A0" w:firstRow="1" w:lastRow="0" w:firstColumn="1" w:lastColumn="0" w:noHBand="0" w:noVBand="1"/>
      </w:tblPr>
      <w:tblGrid>
        <w:gridCol w:w="9631"/>
      </w:tblGrid>
      <w:tr w:rsidR="00C759DF" w14:paraId="464429DA" w14:textId="77777777" w:rsidTr="00C759DF">
        <w:tc>
          <w:tcPr>
            <w:tcW w:w="9631" w:type="dxa"/>
          </w:tcPr>
          <w:p w14:paraId="4D7C05B9" w14:textId="77777777" w:rsidR="00EB39B9" w:rsidRPr="00507C81" w:rsidRDefault="00EB39B9" w:rsidP="000E6C69">
            <w:pPr>
              <w:widowControl/>
              <w:wordWrap/>
              <w:autoSpaceDE/>
              <w:autoSpaceDN/>
              <w:spacing w:after="0"/>
              <w:rPr>
                <w:rFonts w:ascii="Times" w:eastAsia="바탕" w:hAnsi="Times"/>
                <w:szCs w:val="24"/>
                <w:lang w:val="en-GB" w:eastAsia="en-US"/>
              </w:rPr>
            </w:pPr>
            <w:r w:rsidRPr="00507C81">
              <w:rPr>
                <w:rFonts w:ascii="Times" w:eastAsia="바탕" w:hAnsi="Times"/>
                <w:szCs w:val="24"/>
                <w:highlight w:val="green"/>
                <w:lang w:val="en-GB" w:eastAsia="en-US"/>
              </w:rPr>
              <w:t>Agreement:</w:t>
            </w:r>
          </w:p>
          <w:p w14:paraId="29F47309" w14:textId="77777777" w:rsidR="00EB39B9" w:rsidRPr="00507C81" w:rsidRDefault="00EB39B9" w:rsidP="000E6C69">
            <w:pPr>
              <w:widowControl/>
              <w:wordWrap/>
              <w:autoSpaceDE/>
              <w:autoSpaceDN/>
              <w:spacing w:after="0"/>
              <w:rPr>
                <w:rFonts w:ascii="Times" w:eastAsia="바탕" w:hAnsi="Times"/>
                <w:szCs w:val="24"/>
                <w:lang w:val="en-GB" w:eastAsia="en-US"/>
              </w:rPr>
            </w:pPr>
            <w:r w:rsidRPr="00507C81">
              <w:rPr>
                <w:rFonts w:ascii="Times" w:eastAsia="바탕" w:hAnsi="Times"/>
                <w:szCs w:val="24"/>
                <w:lang w:val="en-GB" w:eastAsia="en-US"/>
              </w:rPr>
              <w:t>When polarization signalling is present in SIB</w:t>
            </w:r>
          </w:p>
          <w:p w14:paraId="21EDD82B" w14:textId="77777777" w:rsidR="00EB39B9" w:rsidRPr="00507C81" w:rsidRDefault="00EB39B9" w:rsidP="000E6C69">
            <w:pPr>
              <w:widowControl/>
              <w:numPr>
                <w:ilvl w:val="0"/>
                <w:numId w:val="45"/>
              </w:numPr>
              <w:wordWrap/>
              <w:autoSpaceDE/>
              <w:autoSpaceDN/>
              <w:spacing w:after="0"/>
              <w:rPr>
                <w:rFonts w:ascii="Times" w:eastAsia="바탕" w:hAnsi="Times"/>
                <w:szCs w:val="24"/>
                <w:lang w:val="en-GB" w:eastAsia="en-US"/>
              </w:rPr>
            </w:pPr>
            <w:r w:rsidRPr="00507C81">
              <w:rPr>
                <w:rFonts w:ascii="Times" w:eastAsia="바탕" w:hAnsi="Times"/>
                <w:szCs w:val="24"/>
                <w:lang w:val="en-GB" w:eastAsia="en-US"/>
              </w:rPr>
              <w:t>SIB indicates DL and/or UL polarization information using respective polarization type parameters to indicate: RHCP or LHCP or linear</w:t>
            </w:r>
          </w:p>
          <w:p w14:paraId="13ADE662" w14:textId="36EB0802" w:rsidR="008D1980" w:rsidRDefault="00EB39B9" w:rsidP="000E6C69">
            <w:pPr>
              <w:widowControl/>
              <w:numPr>
                <w:ilvl w:val="0"/>
                <w:numId w:val="45"/>
              </w:numPr>
              <w:wordWrap/>
              <w:autoSpaceDE/>
              <w:autoSpaceDN/>
              <w:spacing w:after="0"/>
              <w:rPr>
                <w:rFonts w:ascii="Times" w:eastAsia="바탕" w:hAnsi="Times"/>
                <w:szCs w:val="24"/>
                <w:lang w:val="en-GB" w:eastAsia="en-US"/>
              </w:rPr>
            </w:pPr>
            <w:r w:rsidRPr="00507C81">
              <w:rPr>
                <w:rFonts w:ascii="Times" w:eastAsia="바탕" w:hAnsi="Times"/>
                <w:szCs w:val="24"/>
                <w:lang w:val="en-GB" w:eastAsia="en-US"/>
              </w:rPr>
              <w:t>FFS: whether polarization signalling is per SSB</w:t>
            </w:r>
          </w:p>
          <w:p w14:paraId="719F15D5" w14:textId="77777777" w:rsidR="000E6C69" w:rsidRDefault="000E6C69" w:rsidP="000E6C69">
            <w:pPr>
              <w:widowControl/>
              <w:numPr>
                <w:ilvl w:val="0"/>
                <w:numId w:val="45"/>
              </w:numPr>
              <w:wordWrap/>
              <w:autoSpaceDE/>
              <w:autoSpaceDN/>
              <w:spacing w:after="0"/>
              <w:rPr>
                <w:rFonts w:ascii="Times" w:eastAsia="바탕" w:hAnsi="Times"/>
                <w:szCs w:val="24"/>
                <w:lang w:val="en-GB" w:eastAsia="en-US"/>
              </w:rPr>
            </w:pPr>
          </w:p>
          <w:p w14:paraId="0D8D9A3B" w14:textId="77777777" w:rsidR="000E6C69" w:rsidRDefault="000E6C69" w:rsidP="000E6C69">
            <w:pPr>
              <w:wordWrap/>
              <w:spacing w:after="0"/>
              <w:rPr>
                <w:lang w:eastAsia="x-none"/>
              </w:rPr>
            </w:pPr>
            <w:r w:rsidRPr="009E55E8">
              <w:rPr>
                <w:highlight w:val="green"/>
                <w:lang w:eastAsia="x-none"/>
              </w:rPr>
              <w:t>Agreement:</w:t>
            </w:r>
          </w:p>
          <w:p w14:paraId="0C628FCC" w14:textId="77777777" w:rsidR="000E6C69" w:rsidRDefault="000E6C69" w:rsidP="000E6C69">
            <w:pPr>
              <w:wordWrap/>
              <w:spacing w:after="0"/>
              <w:rPr>
                <w:lang w:eastAsia="x-none"/>
              </w:rPr>
            </w:pPr>
            <w:r w:rsidRPr="00F91DEB">
              <w:rPr>
                <w:lang w:eastAsia="x-none"/>
              </w:rPr>
              <w:t>Support polarization signal</w:t>
            </w:r>
            <w:r>
              <w:rPr>
                <w:lang w:eastAsia="x-none"/>
              </w:rPr>
              <w:t>l</w:t>
            </w:r>
            <w:r w:rsidRPr="00F91DEB">
              <w:rPr>
                <w:lang w:eastAsia="x-none"/>
              </w:rPr>
              <w:t>ing for target serving cell in handover command message.</w:t>
            </w:r>
          </w:p>
          <w:p w14:paraId="3C33333A" w14:textId="77777777" w:rsidR="000E6C69" w:rsidRDefault="000E6C69" w:rsidP="000E6C69">
            <w:pPr>
              <w:wordWrap/>
              <w:spacing w:after="0"/>
              <w:rPr>
                <w:lang w:eastAsia="x-none"/>
              </w:rPr>
            </w:pPr>
          </w:p>
          <w:p w14:paraId="13411D6A" w14:textId="77777777" w:rsidR="000E6C69" w:rsidRDefault="000E6C69" w:rsidP="000E6C69">
            <w:pPr>
              <w:wordWrap/>
              <w:spacing w:after="0"/>
              <w:rPr>
                <w:lang w:eastAsia="x-none"/>
              </w:rPr>
            </w:pPr>
            <w:r w:rsidRPr="009E55E8">
              <w:rPr>
                <w:highlight w:val="green"/>
                <w:lang w:eastAsia="x-none"/>
              </w:rPr>
              <w:t>Agreement:</w:t>
            </w:r>
          </w:p>
          <w:p w14:paraId="7139822F" w14:textId="0C32E9FD" w:rsidR="000E6C69" w:rsidRPr="00C81AC3" w:rsidRDefault="000E6C69" w:rsidP="000E6C69">
            <w:pPr>
              <w:wordWrap/>
              <w:spacing w:after="0"/>
              <w:rPr>
                <w:rFonts w:ascii="Times" w:eastAsia="바탕" w:hAnsi="Times"/>
                <w:szCs w:val="24"/>
                <w:lang w:val="en-GB" w:eastAsia="en-US"/>
              </w:rPr>
            </w:pPr>
            <w:r w:rsidRPr="009E55E8">
              <w:rPr>
                <w:lang w:eastAsia="x-none"/>
              </w:rPr>
              <w:t>Support polarization signal</w:t>
            </w:r>
            <w:r>
              <w:rPr>
                <w:lang w:eastAsia="x-none"/>
              </w:rPr>
              <w:t>l</w:t>
            </w:r>
            <w:r w:rsidRPr="009E55E8">
              <w:rPr>
                <w:lang w:eastAsia="x-none"/>
              </w:rPr>
              <w:t>ing for non-serving cell in RRM measurement configuration.</w:t>
            </w:r>
          </w:p>
        </w:tc>
      </w:tr>
    </w:tbl>
    <w:p w14:paraId="14C34CA9" w14:textId="6944240C" w:rsidR="009F40D1" w:rsidRPr="00C81AC3" w:rsidRDefault="00C81AC3" w:rsidP="009F40D1">
      <w:pPr>
        <w:spacing w:after="240" w:line="276" w:lineRule="auto"/>
        <w:rPr>
          <w:rFonts w:eastAsia="맑은 고딕"/>
          <w:color w:val="000000"/>
          <w:sz w:val="22"/>
          <w:szCs w:val="22"/>
        </w:rPr>
      </w:pPr>
      <w:r w:rsidRPr="00C81AC3">
        <w:rPr>
          <w:rFonts w:eastAsia="맑은 고딕"/>
          <w:color w:val="000000"/>
          <w:sz w:val="22"/>
          <w:szCs w:val="22"/>
        </w:rPr>
        <w:t>This is a resubmission of R1-210</w:t>
      </w:r>
      <w:r w:rsidR="00326077">
        <w:rPr>
          <w:rFonts w:eastAsia="맑은 고딕"/>
          <w:color w:val="000000"/>
          <w:sz w:val="22"/>
          <w:szCs w:val="22"/>
        </w:rPr>
        <w:t>9489</w:t>
      </w:r>
      <w:bookmarkStart w:id="3" w:name="_GoBack"/>
      <w:bookmarkEnd w:id="3"/>
      <w:r w:rsidRPr="00C81AC3">
        <w:rPr>
          <w:rFonts w:eastAsia="맑은 고딕"/>
          <w:color w:val="000000"/>
          <w:sz w:val="22"/>
          <w:szCs w:val="22"/>
        </w:rPr>
        <w:t>.</w:t>
      </w:r>
    </w:p>
    <w:p w14:paraId="23609C47" w14:textId="7E67F042" w:rsidR="009F40D1" w:rsidRDefault="009F40D1" w:rsidP="009F40D1">
      <w:pPr>
        <w:pStyle w:val="1"/>
      </w:pPr>
      <w:r>
        <w:t>Discussion on possible enhancements</w:t>
      </w:r>
    </w:p>
    <w:p w14:paraId="2D3743ED" w14:textId="5D928DB6" w:rsidR="009F40D1" w:rsidRDefault="009F40D1" w:rsidP="009F40D1">
      <w:pPr>
        <w:wordWrap/>
        <w:spacing w:before="240" w:after="60" w:line="288" w:lineRule="auto"/>
        <w:jc w:val="both"/>
        <w:rPr>
          <w:rFonts w:ascii="Times" w:eastAsia="SimSun" w:hAnsi="Times"/>
          <w:color w:val="000000"/>
          <w:lang w:val="en-GB" w:eastAsia="zh-CN"/>
        </w:rPr>
      </w:pPr>
      <w:r>
        <w:rPr>
          <w:rFonts w:eastAsia="맑은 고딕" w:hint="eastAsia"/>
          <w:sz w:val="22"/>
          <w:szCs w:val="18"/>
        </w:rPr>
        <w:t xml:space="preserve">In this section, we discuss </w:t>
      </w:r>
      <w:r w:rsidRPr="006B3963">
        <w:rPr>
          <w:rFonts w:ascii="Times" w:eastAsia="SimSun" w:hAnsi="Times"/>
          <w:color w:val="000000"/>
          <w:lang w:val="en-GB" w:eastAsia="zh-CN"/>
        </w:rPr>
        <w:t>whether or not</w:t>
      </w:r>
      <w:r w:rsidRPr="006B3963">
        <w:rPr>
          <w:rFonts w:ascii="Times" w:eastAsia="SimSun" w:hAnsi="Times"/>
          <w:color w:val="FF0000"/>
          <w:lang w:val="en-GB" w:eastAsia="zh-CN"/>
        </w:rPr>
        <w:t xml:space="preserve"> </w:t>
      </w:r>
      <w:r w:rsidRPr="006B3963">
        <w:rPr>
          <w:rFonts w:ascii="Times" w:eastAsia="SimSun" w:hAnsi="Times"/>
          <w:lang w:val="en-GB" w:eastAsia="zh-CN"/>
        </w:rPr>
        <w:t>at least</w:t>
      </w:r>
      <w:r w:rsidRPr="006B3963">
        <w:rPr>
          <w:rFonts w:ascii="Times" w:eastAsia="SimSun" w:hAnsi="Times"/>
          <w:color w:val="FF0000"/>
          <w:lang w:val="en-GB" w:eastAsia="zh-CN"/>
        </w:rPr>
        <w:t> </w:t>
      </w:r>
      <w:r w:rsidRPr="006B3963">
        <w:rPr>
          <w:rFonts w:ascii="Times" w:eastAsia="SimSun" w:hAnsi="Times"/>
          <w:color w:val="000000"/>
          <w:lang w:val="en-GB" w:eastAsia="zh-CN"/>
        </w:rPr>
        <w:t>following issues are valid and decide whether or not enhancements are needed in addition to current NR specification for supporting NTN beam management</w:t>
      </w:r>
      <w:r>
        <w:rPr>
          <w:rFonts w:ascii="Times" w:eastAsia="SimSun" w:hAnsi="Times"/>
          <w:color w:val="000000"/>
          <w:lang w:val="en-GB" w:eastAsia="zh-CN"/>
        </w:rPr>
        <w:t xml:space="preserve"> which was made as Conclusion in RAN1#104.</w:t>
      </w:r>
    </w:p>
    <w:p w14:paraId="2C3E4D90" w14:textId="77777777" w:rsidR="00B11A39" w:rsidRPr="006B3963" w:rsidRDefault="00B11A39" w:rsidP="00B11A39">
      <w:pPr>
        <w:widowControl/>
        <w:shd w:val="clear" w:color="auto" w:fill="FFFFFF"/>
        <w:wordWrap/>
        <w:autoSpaceDE/>
        <w:autoSpaceDN/>
        <w:rPr>
          <w:rFonts w:ascii="Times" w:eastAsia="SimSun" w:hAnsi="Times"/>
          <w:color w:val="000000"/>
          <w:u w:val="single"/>
          <w:lang w:eastAsia="zh-CN"/>
        </w:rPr>
      </w:pPr>
      <w:r w:rsidRPr="006B3963">
        <w:rPr>
          <w:rFonts w:ascii="Times" w:eastAsia="SimSun" w:hAnsi="Times"/>
          <w:color w:val="000000"/>
          <w:u w:val="single"/>
          <w:lang w:eastAsia="zh-CN"/>
        </w:rPr>
        <w:t>Conclusion:</w:t>
      </w:r>
    </w:p>
    <w:p w14:paraId="6D32450F" w14:textId="77777777" w:rsidR="00B11A39" w:rsidRPr="006B3963" w:rsidRDefault="00B11A39" w:rsidP="00B11A39">
      <w:pPr>
        <w:widowControl/>
        <w:shd w:val="clear" w:color="auto" w:fill="FFFFFF"/>
        <w:wordWrap/>
        <w:autoSpaceDE/>
        <w:autoSpaceDN/>
        <w:rPr>
          <w:rFonts w:ascii="Times" w:eastAsia="SimSun" w:hAnsi="Times"/>
          <w:color w:val="000000"/>
          <w:lang w:eastAsia="zh-CN"/>
        </w:rPr>
      </w:pPr>
      <w:r w:rsidRPr="006B3963">
        <w:rPr>
          <w:rFonts w:ascii="Times" w:eastAsia="SimSun" w:hAnsi="Times"/>
          <w:color w:val="000000"/>
          <w:lang w:val="en-GB" w:eastAsia="zh-CN"/>
        </w:rPr>
        <w:t>Discuss whether or not</w:t>
      </w:r>
      <w:r w:rsidRPr="006B3963">
        <w:rPr>
          <w:rFonts w:ascii="Times" w:eastAsia="SimSun" w:hAnsi="Times"/>
          <w:color w:val="FF0000"/>
          <w:lang w:val="en-GB" w:eastAsia="zh-CN"/>
        </w:rPr>
        <w:t xml:space="preserve"> </w:t>
      </w:r>
      <w:r w:rsidRPr="006B3963">
        <w:rPr>
          <w:rFonts w:ascii="Times" w:eastAsia="SimSun" w:hAnsi="Times"/>
          <w:lang w:val="en-GB" w:eastAsia="zh-CN"/>
        </w:rPr>
        <w:t>at least</w:t>
      </w:r>
      <w:r w:rsidRPr="006B3963">
        <w:rPr>
          <w:rFonts w:ascii="Times" w:eastAsia="SimSun" w:hAnsi="Times"/>
          <w:color w:val="FF0000"/>
          <w:lang w:val="en-GB" w:eastAsia="zh-CN"/>
        </w:rPr>
        <w:t> </w:t>
      </w:r>
      <w:r w:rsidRPr="006B3963">
        <w:rPr>
          <w:rFonts w:ascii="Times" w:eastAsia="SimSun" w:hAnsi="Times"/>
          <w:color w:val="000000"/>
          <w:lang w:val="en-GB" w:eastAsia="zh-CN"/>
        </w:rPr>
        <w:t>following issues are valid and decide whether or not enhancements are needed in addition to current NR specification for supporting NTN beam management:</w:t>
      </w:r>
    </w:p>
    <w:p w14:paraId="3C902FAF"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eastAsia="zh-CN"/>
        </w:rPr>
      </w:pPr>
      <w:r w:rsidRPr="006B3963">
        <w:rPr>
          <w:rFonts w:ascii="Times" w:eastAsia="SimSun" w:hAnsi="Times"/>
          <w:color w:val="000000"/>
          <w:lang w:val="en-GB" w:eastAsia="zh-CN"/>
        </w:rPr>
        <w:t>Issue 1: NR BWP is not directly associated with a beam. Thus, when using TCI to change beam from beam 1 to beam 2, it does not trigger NR BWP switching. However, in NTN FRF&gt;1 case, beam switching may result in a BWP switching.</w:t>
      </w:r>
    </w:p>
    <w:p w14:paraId="02822152"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2: NR BWP switching in UL and DL are not jointly triggered for FDD. However, in NTN FRF&gt;1 FDD scenario, beam switching may result in a BWP switching in both DL and UL.</w:t>
      </w:r>
    </w:p>
    <w:p w14:paraId="55450AF9"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3: NR dynamic BWP switching requires data scheduling. While in NTN FRF&gt;1 scenario, we may need a fast BWP switching triggering without data scheduling.</w:t>
      </w:r>
    </w:p>
    <w:p w14:paraId="54C2D789"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4: NR BWP switching does not require re-synchronization. However, in NTN FRF&gt;1 scenario, when a satellite beam switching is triggered, UE may need to perform re-synchronization in the switched BWP. </w:t>
      </w:r>
    </w:p>
    <w:p w14:paraId="51D394E2"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5: Since satellite beam switching can be frequent and often highly predictable, mechanisms of configured BWP switching (can be a sequence of BWPs) may be preferred but current NR does not allow it.</w:t>
      </w:r>
    </w:p>
    <w:p w14:paraId="3D039471"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6: How to deal with BWP switching triggered by bwpInactivityTimer, RA procedure, or simply a need to increase throughput instead of for beam-level mobility.</w:t>
      </w:r>
    </w:p>
    <w:p w14:paraId="4D6293EF"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tbl>
      <w:tblPr>
        <w:tblStyle w:val="aff"/>
        <w:tblW w:w="0" w:type="auto"/>
        <w:tblLook w:val="04A0" w:firstRow="1" w:lastRow="0" w:firstColumn="1" w:lastColumn="0" w:noHBand="0" w:noVBand="1"/>
      </w:tblPr>
      <w:tblGrid>
        <w:gridCol w:w="4815"/>
        <w:gridCol w:w="4816"/>
      </w:tblGrid>
      <w:tr w:rsidR="006B1ED0" w14:paraId="69B8CA60" w14:textId="77777777" w:rsidTr="006B1ED0">
        <w:tc>
          <w:tcPr>
            <w:tcW w:w="4815" w:type="dxa"/>
            <w:shd w:val="clear" w:color="auto" w:fill="FFF2CC" w:themeFill="accent4" w:themeFillTint="33"/>
            <w:vAlign w:val="center"/>
          </w:tcPr>
          <w:p w14:paraId="2C49F555" w14:textId="3AC261D5" w:rsidR="006B1ED0" w:rsidRDefault="006B1ED0" w:rsidP="006B1ED0">
            <w:pPr>
              <w:wordWrap/>
              <w:spacing w:after="0"/>
              <w:jc w:val="center"/>
              <w:rPr>
                <w:rFonts w:eastAsia="맑은 고딕"/>
                <w:sz w:val="22"/>
                <w:szCs w:val="18"/>
              </w:rPr>
            </w:pPr>
            <w:r>
              <w:rPr>
                <w:rFonts w:eastAsia="맑은 고딕" w:hint="eastAsia"/>
                <w:sz w:val="22"/>
                <w:szCs w:val="18"/>
              </w:rPr>
              <w:t>Issue</w:t>
            </w:r>
            <w:r>
              <w:rPr>
                <w:rFonts w:eastAsia="맑은 고딕"/>
                <w:sz w:val="22"/>
                <w:szCs w:val="18"/>
              </w:rPr>
              <w:t>s</w:t>
            </w:r>
          </w:p>
        </w:tc>
        <w:tc>
          <w:tcPr>
            <w:tcW w:w="4816" w:type="dxa"/>
            <w:shd w:val="clear" w:color="auto" w:fill="FFF2CC" w:themeFill="accent4" w:themeFillTint="33"/>
            <w:vAlign w:val="center"/>
          </w:tcPr>
          <w:p w14:paraId="2C55916D" w14:textId="68340754" w:rsidR="006B1ED0" w:rsidRDefault="006B1ED0" w:rsidP="006B1ED0">
            <w:pPr>
              <w:wordWrap/>
              <w:spacing w:after="0"/>
              <w:jc w:val="center"/>
              <w:rPr>
                <w:rFonts w:eastAsia="맑은 고딕"/>
                <w:sz w:val="22"/>
                <w:szCs w:val="18"/>
              </w:rPr>
            </w:pPr>
            <w:r>
              <w:rPr>
                <w:rFonts w:eastAsia="맑은 고딕" w:hint="eastAsia"/>
                <w:sz w:val="22"/>
                <w:szCs w:val="18"/>
              </w:rPr>
              <w:t>Samsung View</w:t>
            </w:r>
          </w:p>
        </w:tc>
      </w:tr>
      <w:tr w:rsidR="006B1ED0" w14:paraId="287988EC" w14:textId="77777777" w:rsidTr="006B1ED0">
        <w:tc>
          <w:tcPr>
            <w:tcW w:w="4815" w:type="dxa"/>
            <w:vAlign w:val="center"/>
          </w:tcPr>
          <w:p w14:paraId="7138C586" w14:textId="7F600CD6" w:rsidR="006B1ED0" w:rsidRDefault="006B1ED0" w:rsidP="006B1ED0">
            <w:pPr>
              <w:wordWrap/>
              <w:spacing w:after="0"/>
              <w:jc w:val="both"/>
              <w:rPr>
                <w:rFonts w:eastAsia="맑은 고딕"/>
                <w:sz w:val="22"/>
                <w:szCs w:val="18"/>
              </w:rPr>
            </w:pPr>
            <w:r w:rsidRPr="006B3963">
              <w:rPr>
                <w:rFonts w:ascii="Times" w:eastAsia="SimSun" w:hAnsi="Times"/>
                <w:color w:val="000000"/>
                <w:lang w:val="en-GB" w:eastAsia="zh-CN"/>
              </w:rPr>
              <w:t xml:space="preserve">Issue 1: NR BWP is not directly associated with a beam. Thus, when using TCI to change beam from beam 1 to </w:t>
            </w:r>
            <w:r w:rsidRPr="006B3963">
              <w:rPr>
                <w:rFonts w:ascii="Times" w:eastAsia="SimSun" w:hAnsi="Times"/>
                <w:color w:val="000000"/>
                <w:lang w:val="en-GB" w:eastAsia="zh-CN"/>
              </w:rPr>
              <w:lastRenderedPageBreak/>
              <w:t>beam 2, it does not trigger NR BWP switching. However, in NTN FRF&gt;1 case, beam switching may result in a BWP switching</w:t>
            </w:r>
          </w:p>
        </w:tc>
        <w:tc>
          <w:tcPr>
            <w:tcW w:w="4816" w:type="dxa"/>
            <w:vAlign w:val="center"/>
          </w:tcPr>
          <w:p w14:paraId="29FEA12A" w14:textId="7373669F" w:rsidR="006B1ED0" w:rsidRDefault="006B1ED0" w:rsidP="006B1ED0">
            <w:pPr>
              <w:wordWrap/>
              <w:spacing w:after="0"/>
              <w:jc w:val="both"/>
              <w:rPr>
                <w:rFonts w:eastAsia="맑은 고딕"/>
                <w:sz w:val="22"/>
                <w:szCs w:val="18"/>
              </w:rPr>
            </w:pPr>
            <w:r>
              <w:rPr>
                <w:rFonts w:eastAsia="맑은 고딕" w:hint="eastAsia"/>
                <w:sz w:val="22"/>
                <w:szCs w:val="18"/>
              </w:rPr>
              <w:lastRenderedPageBreak/>
              <w:t>No issue. If both DL/UL requires BWP switching, then the gNB can indicate BWP switching.</w:t>
            </w:r>
          </w:p>
        </w:tc>
      </w:tr>
      <w:tr w:rsidR="006B1ED0" w14:paraId="19A2A9F6" w14:textId="77777777" w:rsidTr="006B1ED0">
        <w:tc>
          <w:tcPr>
            <w:tcW w:w="4815" w:type="dxa"/>
            <w:vAlign w:val="center"/>
          </w:tcPr>
          <w:p w14:paraId="59869635" w14:textId="5B27AD63" w:rsidR="006B1ED0" w:rsidRDefault="006B1ED0" w:rsidP="006B1ED0">
            <w:pPr>
              <w:wordWrap/>
              <w:spacing w:after="0"/>
              <w:jc w:val="both"/>
              <w:rPr>
                <w:rFonts w:eastAsia="맑은 고딕"/>
                <w:sz w:val="22"/>
                <w:szCs w:val="18"/>
              </w:rPr>
            </w:pPr>
            <w:r w:rsidRPr="006B3963">
              <w:rPr>
                <w:rFonts w:ascii="Times" w:eastAsia="SimSun" w:hAnsi="Times"/>
                <w:color w:val="000000"/>
                <w:lang w:val="en-GB" w:eastAsia="zh-CN"/>
              </w:rPr>
              <w:t>Issue 2: NR BWP switching in UL a</w:t>
            </w:r>
            <w:r>
              <w:rPr>
                <w:rFonts w:ascii="Times" w:eastAsia="SimSun" w:hAnsi="Times"/>
                <w:color w:val="000000"/>
                <w:lang w:val="en-GB" w:eastAsia="zh-CN"/>
              </w:rPr>
              <w:t xml:space="preserve">nd DL are not jointly triggered </w:t>
            </w:r>
            <w:r w:rsidRPr="006B3963">
              <w:rPr>
                <w:rFonts w:ascii="Times" w:eastAsia="SimSun" w:hAnsi="Times"/>
                <w:color w:val="000000"/>
                <w:lang w:val="en-GB" w:eastAsia="zh-CN"/>
              </w:rPr>
              <w:t>for FDD. However, in NTN FRF&gt;1 FDD scenario, beam switching may result in a BWP switching in both DL and UL</w:t>
            </w:r>
          </w:p>
        </w:tc>
        <w:tc>
          <w:tcPr>
            <w:tcW w:w="4816" w:type="dxa"/>
            <w:vAlign w:val="center"/>
          </w:tcPr>
          <w:p w14:paraId="1B3D4C3E" w14:textId="511760D6" w:rsidR="006B1ED0" w:rsidRDefault="006B1ED0" w:rsidP="006B1ED0">
            <w:pPr>
              <w:wordWrap/>
              <w:spacing w:after="0"/>
              <w:jc w:val="both"/>
              <w:rPr>
                <w:rFonts w:eastAsia="맑은 고딕"/>
                <w:sz w:val="22"/>
                <w:szCs w:val="18"/>
              </w:rPr>
            </w:pPr>
            <w:r>
              <w:rPr>
                <w:rFonts w:eastAsia="맑은 고딕" w:hint="eastAsia"/>
                <w:sz w:val="22"/>
                <w:szCs w:val="18"/>
              </w:rPr>
              <w:t>No issue. If both DL/UL requires BWP switching, then the gNB can indicate BWP switching separately.</w:t>
            </w:r>
          </w:p>
        </w:tc>
      </w:tr>
      <w:tr w:rsidR="006B1ED0" w14:paraId="0B28F8CB" w14:textId="77777777" w:rsidTr="006B1ED0">
        <w:tc>
          <w:tcPr>
            <w:tcW w:w="4815" w:type="dxa"/>
            <w:vAlign w:val="center"/>
          </w:tcPr>
          <w:p w14:paraId="105F0821" w14:textId="40911542" w:rsidR="006B1ED0" w:rsidRDefault="006B1ED0" w:rsidP="006B1ED0">
            <w:pPr>
              <w:wordWrap/>
              <w:spacing w:after="0"/>
              <w:jc w:val="both"/>
              <w:rPr>
                <w:rFonts w:eastAsia="맑은 고딕"/>
                <w:sz w:val="22"/>
                <w:szCs w:val="18"/>
              </w:rPr>
            </w:pPr>
            <w:r w:rsidRPr="006B1ED0">
              <w:rPr>
                <w:rFonts w:eastAsia="맑은 고딕"/>
                <w:sz w:val="22"/>
                <w:szCs w:val="18"/>
              </w:rPr>
              <w:t>Issue 3: NR dynamic BWP switching requires data scheduling. While in NTN FRF&gt;1 scenario, we may need a fast BWP switching triggering without data scheduling.</w:t>
            </w:r>
          </w:p>
        </w:tc>
        <w:tc>
          <w:tcPr>
            <w:tcW w:w="4816" w:type="dxa"/>
            <w:vAlign w:val="center"/>
          </w:tcPr>
          <w:p w14:paraId="28C79196" w14:textId="3989B395" w:rsidR="006B1ED0" w:rsidRDefault="006B1ED0" w:rsidP="006B1ED0">
            <w:pPr>
              <w:wordWrap/>
              <w:spacing w:after="0"/>
              <w:jc w:val="both"/>
              <w:rPr>
                <w:rFonts w:eastAsia="맑은 고딕"/>
                <w:sz w:val="22"/>
                <w:szCs w:val="18"/>
              </w:rPr>
            </w:pPr>
            <w:r>
              <w:rPr>
                <w:rFonts w:eastAsia="맑은 고딕" w:hint="eastAsia"/>
                <w:sz w:val="22"/>
                <w:szCs w:val="18"/>
              </w:rPr>
              <w:t>Even though there could be an efficient switching mechanism, Rel-17 can deprioritize this issue.</w:t>
            </w:r>
          </w:p>
        </w:tc>
      </w:tr>
      <w:tr w:rsidR="006B1ED0" w14:paraId="3417F325" w14:textId="77777777" w:rsidTr="006B1ED0">
        <w:tc>
          <w:tcPr>
            <w:tcW w:w="4815" w:type="dxa"/>
            <w:vAlign w:val="center"/>
          </w:tcPr>
          <w:p w14:paraId="3DDD3A4B" w14:textId="6EF7095A" w:rsidR="006B1ED0" w:rsidRDefault="006B1ED0" w:rsidP="006B1ED0">
            <w:pPr>
              <w:wordWrap/>
              <w:spacing w:after="0"/>
              <w:jc w:val="both"/>
              <w:rPr>
                <w:rFonts w:eastAsia="맑은 고딕"/>
                <w:sz w:val="22"/>
                <w:szCs w:val="18"/>
              </w:rPr>
            </w:pPr>
            <w:r w:rsidRPr="006B1ED0">
              <w:rPr>
                <w:rFonts w:eastAsia="맑은 고딕"/>
                <w:sz w:val="22"/>
                <w:szCs w:val="18"/>
              </w:rPr>
              <w:t>Issue 4: NR BWP switching does not require re-synchronization. However, in NTN FRF&gt;1 scenario, when a satellite beam switching is triggered, UE may need to perform re-synchronization in the switched BWP.</w:t>
            </w:r>
          </w:p>
        </w:tc>
        <w:tc>
          <w:tcPr>
            <w:tcW w:w="4816" w:type="dxa"/>
            <w:vAlign w:val="center"/>
          </w:tcPr>
          <w:p w14:paraId="6B123213" w14:textId="0B9821F3" w:rsidR="006B1ED0" w:rsidRDefault="006B1ED0" w:rsidP="006B1ED0">
            <w:pPr>
              <w:wordWrap/>
              <w:spacing w:after="0"/>
              <w:jc w:val="both"/>
              <w:rPr>
                <w:rFonts w:eastAsia="맑은 고딕"/>
                <w:sz w:val="22"/>
                <w:szCs w:val="18"/>
              </w:rPr>
            </w:pPr>
            <w:r>
              <w:rPr>
                <w:rFonts w:eastAsia="맑은 고딕"/>
                <w:sz w:val="22"/>
                <w:szCs w:val="18"/>
              </w:rPr>
              <w:t>If two BWP have different frequency offset, the gNB needs to manage to handle it.</w:t>
            </w:r>
            <w:r>
              <w:rPr>
                <w:rFonts w:eastAsia="맑은 고딕" w:hint="eastAsia"/>
                <w:sz w:val="22"/>
                <w:szCs w:val="18"/>
              </w:rPr>
              <w:t xml:space="preserve"> </w:t>
            </w:r>
          </w:p>
        </w:tc>
      </w:tr>
      <w:tr w:rsidR="006B1ED0" w14:paraId="0E617BB9" w14:textId="77777777" w:rsidTr="006B1ED0">
        <w:tc>
          <w:tcPr>
            <w:tcW w:w="4815" w:type="dxa"/>
            <w:vAlign w:val="center"/>
          </w:tcPr>
          <w:p w14:paraId="15D7B02E" w14:textId="5AA7B1EF" w:rsidR="006B1ED0" w:rsidRDefault="006B1ED0" w:rsidP="006B1ED0">
            <w:pPr>
              <w:wordWrap/>
              <w:spacing w:after="0"/>
              <w:jc w:val="both"/>
              <w:rPr>
                <w:rFonts w:eastAsia="맑은 고딕"/>
                <w:sz w:val="22"/>
                <w:szCs w:val="18"/>
              </w:rPr>
            </w:pPr>
            <w:r w:rsidRPr="006B1ED0">
              <w:rPr>
                <w:rFonts w:eastAsia="맑은 고딕"/>
                <w:sz w:val="22"/>
                <w:szCs w:val="18"/>
              </w:rPr>
              <w:t>Issue 5: Since satellite beam switching can be frequent and often highly predictable, mechanisms of configured BWP switching (can be a sequence of BWPs) may be preferred but current NR does not allow it.</w:t>
            </w:r>
          </w:p>
        </w:tc>
        <w:tc>
          <w:tcPr>
            <w:tcW w:w="4816" w:type="dxa"/>
            <w:vAlign w:val="center"/>
          </w:tcPr>
          <w:p w14:paraId="0E8E911B" w14:textId="7BE93A3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may be considered </w:t>
            </w:r>
            <w:r>
              <w:rPr>
                <w:rFonts w:eastAsia="맑은 고딕"/>
                <w:sz w:val="22"/>
                <w:szCs w:val="18"/>
              </w:rPr>
              <w:t>if time is allowed.</w:t>
            </w:r>
          </w:p>
        </w:tc>
      </w:tr>
      <w:tr w:rsidR="006B1ED0" w14:paraId="0E40EACD" w14:textId="77777777" w:rsidTr="006B1ED0">
        <w:tc>
          <w:tcPr>
            <w:tcW w:w="4815" w:type="dxa"/>
            <w:vAlign w:val="center"/>
          </w:tcPr>
          <w:p w14:paraId="4CD4238D" w14:textId="54BAC00B" w:rsidR="006B1ED0" w:rsidRDefault="006B1ED0" w:rsidP="006B1ED0">
            <w:pPr>
              <w:wordWrap/>
              <w:spacing w:after="0"/>
              <w:jc w:val="both"/>
              <w:rPr>
                <w:rFonts w:eastAsia="맑은 고딕"/>
                <w:sz w:val="22"/>
                <w:szCs w:val="18"/>
              </w:rPr>
            </w:pPr>
            <w:r w:rsidRPr="006B1ED0">
              <w:rPr>
                <w:rFonts w:eastAsia="맑은 고딕"/>
                <w:sz w:val="22"/>
                <w:szCs w:val="18"/>
              </w:rPr>
              <w:t>Issue 6: How to deal with BWP switching triggered by bwpInactivityTimer, RA procedure, or simply a need to increase throughput instead of for beam-level mobility.</w:t>
            </w:r>
          </w:p>
        </w:tc>
        <w:tc>
          <w:tcPr>
            <w:tcW w:w="4816" w:type="dxa"/>
            <w:vAlign w:val="center"/>
          </w:tcPr>
          <w:p w14:paraId="0164ACAC" w14:textId="00CBFE7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may be considered </w:t>
            </w:r>
            <w:r>
              <w:rPr>
                <w:rFonts w:eastAsia="맑은 고딕"/>
                <w:sz w:val="22"/>
                <w:szCs w:val="18"/>
              </w:rPr>
              <w:t>if time is allowed.</w:t>
            </w:r>
          </w:p>
        </w:tc>
      </w:tr>
      <w:tr w:rsidR="006B1ED0" w14:paraId="35AAC761" w14:textId="77777777" w:rsidTr="006B1ED0">
        <w:tc>
          <w:tcPr>
            <w:tcW w:w="4815" w:type="dxa"/>
            <w:vAlign w:val="center"/>
          </w:tcPr>
          <w:p w14:paraId="6B7C634F" w14:textId="73196714" w:rsidR="006B1ED0" w:rsidRDefault="006B1ED0" w:rsidP="006B1ED0">
            <w:pPr>
              <w:wordWrap/>
              <w:spacing w:after="0"/>
              <w:jc w:val="both"/>
              <w:rPr>
                <w:rFonts w:eastAsia="맑은 고딕"/>
                <w:sz w:val="22"/>
                <w:szCs w:val="18"/>
              </w:rPr>
            </w:pPr>
            <w:r w:rsidRPr="006B1ED0">
              <w:rPr>
                <w:rFonts w:eastAsia="맑은 고딕"/>
                <w:sz w:val="22"/>
                <w:szCs w:val="18"/>
              </w:rPr>
              <w:t>Issue 7: NR BWP switching/beam switching is done with UE specific signalling due to UE movement’s. However, in NTN scenario, a satellite BWP/beam switching is common for set of UEs, we may need to a common BWP/beam switching mechanism to save the signalling overhead.</w:t>
            </w:r>
          </w:p>
        </w:tc>
        <w:tc>
          <w:tcPr>
            <w:tcW w:w="4816" w:type="dxa"/>
            <w:vAlign w:val="center"/>
          </w:tcPr>
          <w:p w14:paraId="1DFAB2D1" w14:textId="6A0A6B4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may be considered </w:t>
            </w:r>
            <w:r>
              <w:rPr>
                <w:rFonts w:eastAsia="맑은 고딕"/>
                <w:sz w:val="22"/>
                <w:szCs w:val="18"/>
              </w:rPr>
              <w:t xml:space="preserve">if time is allowed. </w:t>
            </w:r>
          </w:p>
        </w:tc>
      </w:tr>
    </w:tbl>
    <w:p w14:paraId="6FFAF0BB" w14:textId="60FC0E4F" w:rsidR="009F40D1" w:rsidRPr="009F40D1" w:rsidRDefault="006B1ED0" w:rsidP="009F40D1">
      <w:pPr>
        <w:wordWrap/>
        <w:spacing w:before="240" w:after="60" w:line="288" w:lineRule="auto"/>
        <w:jc w:val="both"/>
        <w:rPr>
          <w:rFonts w:eastAsia="맑은 고딕"/>
          <w:sz w:val="22"/>
          <w:szCs w:val="18"/>
        </w:rPr>
      </w:pPr>
      <w:r>
        <w:rPr>
          <w:rFonts w:eastAsia="맑은 고딕" w:hint="eastAsia"/>
          <w:sz w:val="22"/>
          <w:szCs w:val="18"/>
        </w:rPr>
        <w:t xml:space="preserve">Overall, </w:t>
      </w:r>
      <w:r>
        <w:rPr>
          <w:rFonts w:eastAsia="맑은 고딕"/>
          <w:sz w:val="22"/>
          <w:szCs w:val="18"/>
        </w:rPr>
        <w:t>some BWP switching issues can be discussed. However, NTN WI has other more important issues including time/frequency synchronization, HARQ, scheduling. Therefore, enhancement for BWP switching need</w:t>
      </w:r>
      <w:r w:rsidR="008D0C91">
        <w:rPr>
          <w:rFonts w:eastAsia="맑은 고딕"/>
          <w:sz w:val="22"/>
          <w:szCs w:val="18"/>
        </w:rPr>
        <w:t>s</w:t>
      </w:r>
      <w:r>
        <w:rPr>
          <w:rFonts w:eastAsia="맑은 고딕"/>
          <w:sz w:val="22"/>
          <w:szCs w:val="18"/>
        </w:rPr>
        <w:t xml:space="preserve"> to be deprioritized.</w:t>
      </w:r>
    </w:p>
    <w:p w14:paraId="5FD9C7DC" w14:textId="60D6CFFE" w:rsidR="009F40D1" w:rsidRDefault="008D0C91" w:rsidP="008D0C91">
      <w:pPr>
        <w:pStyle w:val="ac"/>
        <w:rPr>
          <w:rFonts w:eastAsia="맑은 고딕"/>
          <w:sz w:val="22"/>
          <w:szCs w:val="18"/>
        </w:rPr>
      </w:pPr>
      <w:bookmarkStart w:id="4" w:name="_Ref71295484"/>
      <w:r>
        <w:t xml:space="preserve">Proposal </w:t>
      </w:r>
      <w:fldSimple w:instr=" SEQ Proposal \* ARABIC ">
        <w:r w:rsidR="003F2402">
          <w:rPr>
            <w:noProof/>
          </w:rPr>
          <w:t>1</w:t>
        </w:r>
      </w:fldSimple>
      <w:r>
        <w:t xml:space="preserve">: </w:t>
      </w:r>
      <w:r>
        <w:rPr>
          <w:rFonts w:eastAsia="맑은 고딕"/>
          <w:sz w:val="22"/>
          <w:szCs w:val="18"/>
        </w:rPr>
        <w:t>Enhancement for BWP switching needs to be deprioritized.</w:t>
      </w:r>
      <w:bookmarkEnd w:id="4"/>
    </w:p>
    <w:p w14:paraId="640AF350" w14:textId="116F9CAD" w:rsidR="003B7449" w:rsidRDefault="003B7449" w:rsidP="003B7449">
      <w:pPr>
        <w:rPr>
          <w:lang w:val="en-GB" w:eastAsia="en-US"/>
        </w:rPr>
      </w:pPr>
    </w:p>
    <w:p w14:paraId="01DA511F" w14:textId="77777777" w:rsidR="00BC1E42" w:rsidRPr="003B7449" w:rsidRDefault="00BC1E42" w:rsidP="003B7449">
      <w:pPr>
        <w:rPr>
          <w:lang w:val="en-GB" w:eastAsia="en-US"/>
        </w:rPr>
      </w:pPr>
    </w:p>
    <w:p w14:paraId="1518C402" w14:textId="0EF15B83" w:rsidR="004552E9" w:rsidRDefault="0066323D" w:rsidP="004552E9">
      <w:pPr>
        <w:pStyle w:val="1"/>
      </w:pPr>
      <w:r>
        <w:t>Power control issues</w:t>
      </w:r>
    </w:p>
    <w:p w14:paraId="0A0DBBF6" w14:textId="77777777"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Power control can be categorized into open loop and closed loop depending on whether feedback is applied. For NTN, open loop power control without feedback seems more suitable considering the long propagation delay. For open loop power control, UE should be allowed to adjust/predict its own transmission power not only based on DL measurement, e.g., pathloss measurement but also other available information, such as gNB ephemeris and UE trajectory. </w:t>
      </w:r>
    </w:p>
    <w:p w14:paraId="4BF0950C" w14:textId="11E69643" w:rsidR="004552E9" w:rsidRPr="003B7449" w:rsidRDefault="003B7449" w:rsidP="003B7449">
      <w:pPr>
        <w:spacing w:after="240" w:line="276" w:lineRule="auto"/>
        <w:ind w:left="992" w:hangingChars="451" w:hanging="992"/>
        <w:rPr>
          <w:b/>
          <w:sz w:val="22"/>
          <w:szCs w:val="22"/>
          <w:lang w:val="en-GB" w:eastAsia="en-US"/>
        </w:rPr>
      </w:pPr>
      <w:bookmarkStart w:id="5" w:name="_Ref53564456"/>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3F2402">
        <w:rPr>
          <w:b/>
          <w:noProof/>
          <w:sz w:val="22"/>
          <w:szCs w:val="22"/>
        </w:rPr>
        <w:t>2</w:t>
      </w:r>
      <w:r w:rsidRPr="003B7449">
        <w:rPr>
          <w:b/>
          <w:sz w:val="22"/>
          <w:szCs w:val="22"/>
        </w:rPr>
        <w:fldChar w:fldCharType="end"/>
      </w:r>
      <w:r w:rsidRPr="003B7449">
        <w:rPr>
          <w:b/>
          <w:sz w:val="22"/>
          <w:szCs w:val="22"/>
        </w:rPr>
        <w:t xml:space="preserve">. </w:t>
      </w:r>
      <w:r w:rsidR="004552E9" w:rsidRPr="003B7449">
        <w:rPr>
          <w:b/>
          <w:sz w:val="22"/>
          <w:szCs w:val="22"/>
          <w:lang w:val="en-GB" w:eastAsia="en-US"/>
        </w:rPr>
        <w:t>In open loop power control, UE should be allowed to predict its own transmission power not only based on DL measurement, e.g., pathloss measurement but also other available information, such as gNB ephemeris and UE trajectory.</w:t>
      </w:r>
      <w:bookmarkEnd w:id="5"/>
    </w:p>
    <w:p w14:paraId="6792CE8A" w14:textId="52C936B3"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Closed loop power control can also be </w:t>
      </w:r>
      <w:r>
        <w:rPr>
          <w:sz w:val="22"/>
          <w:szCs w:val="22"/>
          <w:lang w:val="en-GB" w:eastAsia="en-US"/>
        </w:rPr>
        <w:t>supported</w:t>
      </w:r>
      <w:r w:rsidRPr="004552E9">
        <w:rPr>
          <w:sz w:val="22"/>
          <w:szCs w:val="22"/>
          <w:lang w:val="en-GB" w:eastAsia="en-US"/>
        </w:rPr>
        <w:t xml:space="preserve"> in addition to open loop mechanism. For certain types of NTN, e.g., GEO satellite, it is static relative to the earth. In this case, the change of path loss with respect to t</w:t>
      </w:r>
      <w:r w:rsidRPr="004552E9">
        <w:rPr>
          <w:sz w:val="22"/>
          <w:szCs w:val="22"/>
          <w:lang w:val="en-GB" w:eastAsia="en-US"/>
        </w:rPr>
        <w:lastRenderedPageBreak/>
        <w:t xml:space="preserve">ime will be slow. Therefore, closed loop (and open loop) power control can benefit if the UE can get the information of what type of the gNB is. Moreover, the distance between the different UEs and the serving gNB actually does not differ much considering the long distance, e.g., 35786 km for GEO satellite. In this regard, the transmission power of different UEs can be adjusted as a group with a reference UE transmission power. In addition, a mechanism to disable closed loop power control should be considered. </w:t>
      </w:r>
    </w:p>
    <w:p w14:paraId="3DB5AF20" w14:textId="26B9ABF0" w:rsidR="004552E9" w:rsidRDefault="003B7449" w:rsidP="003B7449">
      <w:pPr>
        <w:spacing w:after="240" w:line="276" w:lineRule="auto"/>
        <w:ind w:left="992" w:hangingChars="451" w:hanging="992"/>
        <w:rPr>
          <w:b/>
          <w:sz w:val="22"/>
          <w:szCs w:val="22"/>
          <w:lang w:val="en-GB" w:eastAsia="en-US"/>
        </w:rPr>
      </w:pPr>
      <w:bookmarkStart w:id="6" w:name="_Ref53564458"/>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3F2402">
        <w:rPr>
          <w:b/>
          <w:noProof/>
          <w:sz w:val="22"/>
          <w:szCs w:val="22"/>
        </w:rPr>
        <w:t>3</w:t>
      </w:r>
      <w:r w:rsidRPr="003B7449">
        <w:rPr>
          <w:b/>
          <w:sz w:val="22"/>
          <w:szCs w:val="22"/>
        </w:rPr>
        <w:fldChar w:fldCharType="end"/>
      </w:r>
      <w:r>
        <w:rPr>
          <w:b/>
          <w:sz w:val="22"/>
          <w:szCs w:val="22"/>
        </w:rPr>
        <w:t>:</w:t>
      </w:r>
      <w:r w:rsidRPr="003B7449">
        <w:rPr>
          <w:b/>
          <w:sz w:val="22"/>
          <w:szCs w:val="22"/>
        </w:rPr>
        <w:t xml:space="preserve"> </w:t>
      </w:r>
      <w:r w:rsidR="004552E9" w:rsidRPr="003B7449">
        <w:rPr>
          <w:b/>
          <w:sz w:val="22"/>
          <w:szCs w:val="22"/>
          <w:lang w:val="en-GB" w:eastAsia="en-US"/>
        </w:rPr>
        <w:t>Closed loop power control should be supported in NTN and a mechanism to disable closed loop power control should be considered.</w:t>
      </w:r>
      <w:bookmarkEnd w:id="6"/>
    </w:p>
    <w:p w14:paraId="6B9F89D1" w14:textId="77777777" w:rsidR="003B7449" w:rsidRPr="003B7449" w:rsidRDefault="003B7449" w:rsidP="003B7449">
      <w:pPr>
        <w:spacing w:after="240" w:line="276" w:lineRule="auto"/>
        <w:ind w:left="992" w:hangingChars="451" w:hanging="992"/>
        <w:rPr>
          <w:b/>
          <w:sz w:val="22"/>
          <w:szCs w:val="22"/>
          <w:lang w:val="en-GB" w:eastAsia="en-US"/>
        </w:rPr>
      </w:pPr>
    </w:p>
    <w:p w14:paraId="0EC008A2" w14:textId="2DCA3E40" w:rsidR="0066323D" w:rsidRDefault="0066323D" w:rsidP="0066323D">
      <w:pPr>
        <w:pStyle w:val="1"/>
      </w:pPr>
      <w:r w:rsidRPr="0066323D">
        <w:t>DL Doppler pre-compensation</w:t>
      </w:r>
    </w:p>
    <w:p w14:paraId="02E8708C" w14:textId="77777777" w:rsidR="0066323D" w:rsidRDefault="0066323D" w:rsidP="0066323D">
      <w:pPr>
        <w:wordWrap/>
        <w:jc w:val="both"/>
        <w:rPr>
          <w:rFonts w:eastAsia="맑은 고딕"/>
          <w:color w:val="000000"/>
          <w:sz w:val="22"/>
          <w:szCs w:val="22"/>
        </w:rPr>
      </w:pPr>
      <w:r>
        <w:rPr>
          <w:rFonts w:eastAsia="맑은 고딕"/>
          <w:color w:val="000000"/>
          <w:sz w:val="22"/>
          <w:szCs w:val="22"/>
        </w:rPr>
        <w:t xml:space="preserve">In light of </w:t>
      </w:r>
      <w:r w:rsidRPr="00C80980">
        <w:rPr>
          <w:rFonts w:eastAsia="맑은 고딕"/>
          <w:color w:val="000000"/>
          <w:sz w:val="22"/>
          <w:szCs w:val="22"/>
        </w:rPr>
        <w:t xml:space="preserve">the FO limit </w:t>
      </w:r>
      <w:r>
        <w:rPr>
          <w:rFonts w:eastAsia="맑은 고딕"/>
          <w:color w:val="000000"/>
          <w:sz w:val="22"/>
          <w:szCs w:val="22"/>
        </w:rPr>
        <w:t xml:space="preserve">of </w:t>
      </w:r>
      <w:r w:rsidRPr="00C80980">
        <w:rPr>
          <w:rFonts w:eastAsia="맑은 고딕"/>
          <w:color w:val="000000"/>
          <w:sz w:val="22"/>
          <w:szCs w:val="22"/>
        </w:rPr>
        <w:t>+/-10kHz for DL sync</w:t>
      </w:r>
      <w:r>
        <w:rPr>
          <w:rFonts w:eastAsia="맑은 고딕"/>
          <w:color w:val="000000"/>
          <w:sz w:val="22"/>
          <w:szCs w:val="22"/>
        </w:rPr>
        <w:t>hronization</w:t>
      </w:r>
      <w:r w:rsidRPr="00C80980">
        <w:rPr>
          <w:rFonts w:eastAsia="맑은 고딕"/>
          <w:color w:val="000000"/>
          <w:sz w:val="22"/>
          <w:szCs w:val="22"/>
        </w:rPr>
        <w:t xml:space="preserve"> (w.r.t. 5ppm [</w:t>
      </w:r>
      <w:r>
        <w:rPr>
          <w:rFonts w:eastAsia="맑은 고딕"/>
          <w:color w:val="000000"/>
          <w:sz w:val="22"/>
          <w:szCs w:val="22"/>
        </w:rPr>
        <w:t>2</w:t>
      </w:r>
      <w:r w:rsidRPr="00C80980">
        <w:rPr>
          <w:rFonts w:eastAsia="맑은 고딕"/>
          <w:color w:val="000000"/>
          <w:sz w:val="22"/>
          <w:szCs w:val="22"/>
        </w:rPr>
        <w:t xml:space="preserve">, Section 7.3.2.3.1]), the BS can perform a single-value Doppler pre-compensation targeting the center of </w:t>
      </w:r>
      <w:r>
        <w:rPr>
          <w:rFonts w:eastAsia="맑은 고딕"/>
          <w:color w:val="000000"/>
          <w:sz w:val="22"/>
          <w:szCs w:val="22"/>
        </w:rPr>
        <w:t xml:space="preserve">the </w:t>
      </w:r>
      <w:r w:rsidRPr="00C80980">
        <w:rPr>
          <w:rFonts w:eastAsia="맑은 고딕"/>
          <w:color w:val="000000"/>
          <w:sz w:val="22"/>
          <w:szCs w:val="22"/>
        </w:rPr>
        <w:t>Dop</w:t>
      </w:r>
      <w:r>
        <w:rPr>
          <w:rFonts w:eastAsia="맑은 고딕"/>
          <w:color w:val="000000"/>
          <w:sz w:val="22"/>
          <w:szCs w:val="22"/>
        </w:rPr>
        <w:t xml:space="preserve">pler range among different UEs </w:t>
      </w:r>
      <w:r w:rsidRPr="00C80980">
        <w:rPr>
          <w:rFonts w:eastAsia="맑은 고딕"/>
          <w:color w:val="000000"/>
          <w:sz w:val="22"/>
          <w:szCs w:val="22"/>
        </w:rPr>
        <w:t xml:space="preserve">for </w:t>
      </w:r>
      <w:r>
        <w:rPr>
          <w:rFonts w:eastAsia="맑은 고딕"/>
          <w:color w:val="000000"/>
          <w:sz w:val="22"/>
          <w:szCs w:val="22"/>
        </w:rPr>
        <w:t xml:space="preserve">a </w:t>
      </w:r>
      <w:r w:rsidRPr="00C80980">
        <w:rPr>
          <w:rFonts w:eastAsia="맑은 고딕"/>
          <w:color w:val="000000"/>
          <w:sz w:val="22"/>
          <w:szCs w:val="22"/>
        </w:rPr>
        <w:t xml:space="preserve">spot beam </w:t>
      </w:r>
      <w:r>
        <w:rPr>
          <w:rFonts w:eastAsia="맑은 고딕"/>
          <w:color w:val="000000"/>
          <w:sz w:val="22"/>
          <w:szCs w:val="22"/>
        </w:rPr>
        <w:t xml:space="preserve">size </w:t>
      </w:r>
      <w:r w:rsidRPr="00C80980">
        <w:rPr>
          <w:rFonts w:eastAsia="맑은 고딕"/>
          <w:color w:val="000000"/>
          <w:sz w:val="22"/>
          <w:szCs w:val="22"/>
        </w:rPr>
        <w:t>up to 250km</w:t>
      </w:r>
      <w:r>
        <w:rPr>
          <w:rFonts w:eastAsia="맑은 고딕"/>
          <w:color w:val="000000"/>
          <w:sz w:val="22"/>
          <w:szCs w:val="22"/>
        </w:rPr>
        <w:t>.</w:t>
      </w:r>
    </w:p>
    <w:p w14:paraId="2A324CE1" w14:textId="77777777" w:rsidR="0066323D" w:rsidRDefault="0066323D" w:rsidP="0066323D">
      <w:pPr>
        <w:wordWrap/>
        <w:jc w:val="both"/>
        <w:rPr>
          <w:rFonts w:eastAsia="맑은 고딕"/>
          <w:color w:val="000000"/>
          <w:sz w:val="22"/>
          <w:szCs w:val="22"/>
        </w:rPr>
      </w:pPr>
    </w:p>
    <w:p w14:paraId="66BC190C" w14:textId="77777777" w:rsidR="0066323D" w:rsidRDefault="0066323D" w:rsidP="0066323D">
      <w:pPr>
        <w:wordWrap/>
        <w:jc w:val="both"/>
        <w:rPr>
          <w:rFonts w:eastAsia="맑은 고딕"/>
          <w:color w:val="000000"/>
          <w:sz w:val="22"/>
          <w:szCs w:val="22"/>
        </w:rPr>
      </w:pPr>
      <w:r>
        <w:rPr>
          <w:rFonts w:eastAsia="맑은 고딕"/>
          <w:color w:val="000000"/>
          <w:sz w:val="22"/>
          <w:szCs w:val="22"/>
        </w:rPr>
        <w:t>For larger spot beam sizes, though, this approach may be insufficient in light of the above-mentioned FO limit.  Table 2 shows the maximum Doppler difference between UEs for a range of spot beam sizes.</w:t>
      </w:r>
    </w:p>
    <w:p w14:paraId="5919D2E0" w14:textId="77777777" w:rsidR="0066323D" w:rsidRDefault="0066323D" w:rsidP="0066323D">
      <w:pPr>
        <w:wordWrap/>
        <w:jc w:val="both"/>
        <w:rPr>
          <w:rFonts w:eastAsia="맑은 고딕"/>
          <w:color w:val="000000"/>
          <w:sz w:val="22"/>
          <w:szCs w:val="22"/>
        </w:rPr>
      </w:pPr>
    </w:p>
    <w:tbl>
      <w:tblPr>
        <w:tblStyle w:val="aff"/>
        <w:tblW w:w="0" w:type="auto"/>
        <w:tblLook w:val="04A0" w:firstRow="1" w:lastRow="0" w:firstColumn="1" w:lastColumn="0" w:noHBand="0" w:noVBand="1"/>
      </w:tblPr>
      <w:tblGrid>
        <w:gridCol w:w="3210"/>
        <w:gridCol w:w="3210"/>
        <w:gridCol w:w="3211"/>
      </w:tblGrid>
      <w:tr w:rsidR="0066323D" w14:paraId="2F1180F0" w14:textId="77777777" w:rsidTr="00171942">
        <w:tc>
          <w:tcPr>
            <w:tcW w:w="3210" w:type="dxa"/>
            <w:vAlign w:val="center"/>
          </w:tcPr>
          <w:p w14:paraId="4EBBBC55"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fc (GHz)</w:t>
            </w:r>
          </w:p>
        </w:tc>
        <w:tc>
          <w:tcPr>
            <w:tcW w:w="3210" w:type="dxa"/>
            <w:vAlign w:val="center"/>
          </w:tcPr>
          <w:p w14:paraId="1334E45F"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spot beam size (km)</w:t>
            </w:r>
          </w:p>
        </w:tc>
        <w:tc>
          <w:tcPr>
            <w:tcW w:w="3211" w:type="dxa"/>
            <w:vAlign w:val="center"/>
          </w:tcPr>
          <w:p w14:paraId="6F29BBA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maximum Doppler difference between UEs (kHz)</w:t>
            </w:r>
          </w:p>
        </w:tc>
      </w:tr>
      <w:tr w:rsidR="0066323D" w14:paraId="04DF7FD2" w14:textId="77777777" w:rsidTr="00171942">
        <w:tc>
          <w:tcPr>
            <w:tcW w:w="3210" w:type="dxa"/>
            <w:vAlign w:val="center"/>
          </w:tcPr>
          <w:p w14:paraId="4D8C4DB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A8ED0E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50</w:t>
            </w:r>
          </w:p>
        </w:tc>
        <w:tc>
          <w:tcPr>
            <w:tcW w:w="3211" w:type="dxa"/>
            <w:vAlign w:val="center"/>
          </w:tcPr>
          <w:p w14:paraId="73F123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4.185</w:t>
            </w:r>
          </w:p>
        </w:tc>
      </w:tr>
      <w:tr w:rsidR="0066323D" w14:paraId="3F42435D" w14:textId="77777777" w:rsidTr="00171942">
        <w:tc>
          <w:tcPr>
            <w:tcW w:w="3210" w:type="dxa"/>
            <w:vAlign w:val="center"/>
          </w:tcPr>
          <w:p w14:paraId="0D3742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BF29C9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200</w:t>
            </w:r>
          </w:p>
        </w:tc>
        <w:tc>
          <w:tcPr>
            <w:tcW w:w="3211" w:type="dxa"/>
            <w:vAlign w:val="center"/>
          </w:tcPr>
          <w:p w14:paraId="456E9B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15.87</w:t>
            </w:r>
          </w:p>
        </w:tc>
      </w:tr>
      <w:tr w:rsidR="0066323D" w14:paraId="04846426" w14:textId="77777777" w:rsidTr="00171942">
        <w:tc>
          <w:tcPr>
            <w:tcW w:w="3210" w:type="dxa"/>
            <w:vAlign w:val="center"/>
          </w:tcPr>
          <w:p w14:paraId="6C1F22B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0183E8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250</w:t>
            </w:r>
          </w:p>
        </w:tc>
        <w:tc>
          <w:tcPr>
            <w:tcW w:w="3211" w:type="dxa"/>
            <w:vAlign w:val="center"/>
          </w:tcPr>
          <w:p w14:paraId="3C6EDF9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19.25</w:t>
            </w:r>
          </w:p>
        </w:tc>
      </w:tr>
      <w:tr w:rsidR="0066323D" w14:paraId="02AE9938" w14:textId="77777777" w:rsidTr="00171942">
        <w:tc>
          <w:tcPr>
            <w:tcW w:w="3210" w:type="dxa"/>
            <w:vAlign w:val="center"/>
          </w:tcPr>
          <w:p w14:paraId="6602BEE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26267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300</w:t>
            </w:r>
          </w:p>
        </w:tc>
        <w:tc>
          <w:tcPr>
            <w:tcW w:w="3211" w:type="dxa"/>
            <w:vAlign w:val="center"/>
          </w:tcPr>
          <w:p w14:paraId="641B3434" w14:textId="77777777" w:rsidR="0066323D" w:rsidRDefault="0066323D" w:rsidP="00171942">
            <w:pPr>
              <w:wordWrap/>
              <w:spacing w:after="0"/>
              <w:jc w:val="center"/>
              <w:rPr>
                <w:rFonts w:eastAsia="맑은 고딕"/>
                <w:color w:val="000000"/>
                <w:sz w:val="22"/>
                <w:szCs w:val="22"/>
              </w:rPr>
            </w:pPr>
            <w:r>
              <w:rPr>
                <w:rFonts w:eastAsia="맑은 고딕"/>
                <w:color w:val="FF0000"/>
                <w:sz w:val="22"/>
                <w:szCs w:val="22"/>
              </w:rPr>
              <w:t>22.33</w:t>
            </w:r>
          </w:p>
        </w:tc>
      </w:tr>
      <w:tr w:rsidR="0066323D" w14:paraId="3C60B9D8" w14:textId="77777777" w:rsidTr="00171942">
        <w:tc>
          <w:tcPr>
            <w:tcW w:w="3210" w:type="dxa"/>
            <w:vAlign w:val="center"/>
          </w:tcPr>
          <w:p w14:paraId="7F38A32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3AD7F6A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 600</w:t>
            </w:r>
          </w:p>
        </w:tc>
        <w:tc>
          <w:tcPr>
            <w:tcW w:w="3211" w:type="dxa"/>
            <w:vAlign w:val="center"/>
          </w:tcPr>
          <w:p w14:paraId="0A1E02DE" w14:textId="77777777" w:rsidR="0066323D" w:rsidRDefault="0066323D" w:rsidP="00171942">
            <w:pPr>
              <w:keepNext/>
              <w:wordWrap/>
              <w:spacing w:after="0"/>
              <w:jc w:val="center"/>
              <w:rPr>
                <w:rFonts w:eastAsia="맑은 고딕"/>
                <w:color w:val="000000"/>
                <w:sz w:val="22"/>
                <w:szCs w:val="22"/>
              </w:rPr>
            </w:pPr>
            <w:r>
              <w:rPr>
                <w:rFonts w:eastAsia="맑은 고딕"/>
                <w:color w:val="FF0000"/>
                <w:sz w:val="22"/>
                <w:szCs w:val="22"/>
              </w:rPr>
              <w:t>~ 45</w:t>
            </w:r>
          </w:p>
        </w:tc>
      </w:tr>
    </w:tbl>
    <w:p w14:paraId="65C659F9" w14:textId="77777777" w:rsidR="0066323D" w:rsidRPr="000310ED" w:rsidRDefault="0066323D" w:rsidP="0066323D">
      <w:pPr>
        <w:pStyle w:val="ac"/>
        <w:wordWrap/>
        <w:spacing w:before="0" w:after="0"/>
        <w:jc w:val="center"/>
        <w:rPr>
          <w:rFonts w:eastAsia="맑은 고딕"/>
          <w:color w:val="000000"/>
          <w:sz w:val="18"/>
          <w:szCs w:val="18"/>
        </w:rPr>
      </w:pPr>
      <w:r w:rsidRPr="000310ED">
        <w:rPr>
          <w:sz w:val="18"/>
          <w:szCs w:val="18"/>
        </w:rPr>
        <w:t>Table</w:t>
      </w:r>
      <w:r>
        <w:rPr>
          <w:sz w:val="18"/>
          <w:szCs w:val="18"/>
        </w:rPr>
        <w:t xml:space="preserve"> 2</w:t>
      </w:r>
      <w:r w:rsidRPr="000310ED">
        <w:rPr>
          <w:sz w:val="18"/>
          <w:szCs w:val="18"/>
        </w:rPr>
        <w:t>: Maximum Doppler difference between UEs</w:t>
      </w:r>
    </w:p>
    <w:p w14:paraId="0576A2BE" w14:textId="77777777" w:rsidR="0066323D" w:rsidRDefault="0066323D" w:rsidP="0066323D">
      <w:pPr>
        <w:wordWrap/>
        <w:jc w:val="both"/>
        <w:rPr>
          <w:rFonts w:eastAsia="맑은 고딕"/>
          <w:b/>
          <w:color w:val="000000"/>
          <w:sz w:val="22"/>
          <w:szCs w:val="22"/>
        </w:rPr>
      </w:pPr>
    </w:p>
    <w:p w14:paraId="334DFB1C" w14:textId="5C096970" w:rsidR="0066323D" w:rsidRPr="003B7449" w:rsidRDefault="003B7449" w:rsidP="003B7449">
      <w:pPr>
        <w:pStyle w:val="ac"/>
        <w:ind w:left="1417" w:hangingChars="644" w:hanging="1417"/>
        <w:rPr>
          <w:rFonts w:eastAsia="맑은 고딕"/>
          <w:color w:val="000000"/>
          <w:sz w:val="22"/>
          <w:szCs w:val="22"/>
        </w:rPr>
      </w:pPr>
      <w:bookmarkStart w:id="7" w:name="_Ref53564431"/>
      <w:r w:rsidRPr="003B7449">
        <w:rPr>
          <w:sz w:val="22"/>
          <w:szCs w:val="22"/>
        </w:rPr>
        <w:t xml:space="preserve">Observation </w:t>
      </w:r>
      <w:r w:rsidRPr="003B7449">
        <w:rPr>
          <w:sz w:val="22"/>
          <w:szCs w:val="22"/>
        </w:rPr>
        <w:fldChar w:fldCharType="begin"/>
      </w:r>
      <w:r w:rsidRPr="003B7449">
        <w:rPr>
          <w:sz w:val="22"/>
          <w:szCs w:val="22"/>
        </w:rPr>
        <w:instrText xml:space="preserve"> SEQ Observation \* ARABIC </w:instrText>
      </w:r>
      <w:r w:rsidRPr="003B7449">
        <w:rPr>
          <w:sz w:val="22"/>
          <w:szCs w:val="22"/>
        </w:rPr>
        <w:fldChar w:fldCharType="separate"/>
      </w:r>
      <w:r w:rsidR="003F2402">
        <w:rPr>
          <w:noProof/>
          <w:sz w:val="22"/>
          <w:szCs w:val="22"/>
        </w:rPr>
        <w:t>1</w:t>
      </w:r>
      <w:r w:rsidRPr="003B7449">
        <w:rPr>
          <w:sz w:val="22"/>
          <w:szCs w:val="22"/>
        </w:rPr>
        <w:fldChar w:fldCharType="end"/>
      </w:r>
      <w:r w:rsidR="0066323D" w:rsidRPr="003B7449">
        <w:rPr>
          <w:rFonts w:eastAsia="맑은 고딕"/>
          <w:color w:val="000000"/>
          <w:sz w:val="22"/>
          <w:szCs w:val="22"/>
        </w:rPr>
        <w:t>: For a spot beam size that exceeds 250 km, a BS may need to perform a multi-valued Doppler pre-compensation; e.g. it may need to group distinct sets of SSBs using distinct Doppler values for pre-compensation.</w:t>
      </w:r>
      <w:bookmarkEnd w:id="7"/>
    </w:p>
    <w:p w14:paraId="51A741D4" w14:textId="77777777" w:rsidR="0066323D" w:rsidRDefault="0066323D" w:rsidP="0066323D">
      <w:pPr>
        <w:jc w:val="both"/>
        <w:rPr>
          <w:rFonts w:eastAsia="맑은 고딕"/>
          <w:color w:val="000000"/>
          <w:sz w:val="22"/>
          <w:szCs w:val="22"/>
        </w:rPr>
      </w:pPr>
    </w:p>
    <w:p w14:paraId="189547FF" w14:textId="77777777" w:rsidR="0066323D" w:rsidRPr="00C4481A" w:rsidRDefault="0066323D" w:rsidP="0066323D">
      <w:pPr>
        <w:jc w:val="both"/>
        <w:rPr>
          <w:rFonts w:eastAsia="맑은 고딕"/>
          <w:color w:val="000000"/>
          <w:sz w:val="22"/>
          <w:szCs w:val="22"/>
        </w:rPr>
      </w:pPr>
      <w:r>
        <w:rPr>
          <w:rFonts w:eastAsia="맑은 고딕"/>
          <w:color w:val="000000"/>
          <w:sz w:val="22"/>
          <w:szCs w:val="22"/>
        </w:rPr>
        <w:t xml:space="preserve">Figure 2 shows an example of that solution, </w:t>
      </w:r>
      <w:r w:rsidRPr="00C4481A">
        <w:rPr>
          <w:rFonts w:eastAsia="맑은 고딕"/>
          <w:color w:val="000000"/>
          <w:sz w:val="22"/>
          <w:szCs w:val="22"/>
        </w:rPr>
        <w:t xml:space="preserve">where </w:t>
      </w:r>
      <w:r>
        <w:rPr>
          <w:rFonts w:eastAsia="맑은 고딕"/>
          <w:color w:val="000000"/>
          <w:sz w:val="22"/>
          <w:szCs w:val="22"/>
        </w:rPr>
        <w:t xml:space="preserve">the </w:t>
      </w:r>
      <w:r w:rsidRPr="00C4481A">
        <w:rPr>
          <w:rFonts w:eastAsia="맑은 고딕"/>
          <w:color w:val="000000"/>
          <w:sz w:val="22"/>
          <w:szCs w:val="22"/>
        </w:rPr>
        <w:t xml:space="preserve">BS pre-compensates multiple </w:t>
      </w:r>
      <w:r>
        <w:rPr>
          <w:rFonts w:eastAsia="맑은 고딕"/>
          <w:color w:val="000000"/>
          <w:sz w:val="22"/>
          <w:szCs w:val="22"/>
        </w:rPr>
        <w:t xml:space="preserve">Doppler </w:t>
      </w:r>
      <w:r w:rsidRPr="00C4481A">
        <w:rPr>
          <w:rFonts w:eastAsia="맑은 고딕"/>
          <w:color w:val="000000"/>
          <w:sz w:val="22"/>
          <w:szCs w:val="22"/>
        </w:rPr>
        <w:t>values within each spot beam to reduce the max</w:t>
      </w:r>
      <w:r>
        <w:rPr>
          <w:rFonts w:eastAsia="맑은 고딕"/>
          <w:color w:val="000000"/>
          <w:sz w:val="22"/>
          <w:szCs w:val="22"/>
        </w:rPr>
        <w:t>imum</w:t>
      </w:r>
      <w:r w:rsidRPr="00C4481A">
        <w:rPr>
          <w:rFonts w:eastAsia="맑은 고딕"/>
          <w:color w:val="000000"/>
          <w:sz w:val="22"/>
          <w:szCs w:val="22"/>
        </w:rPr>
        <w:t xml:space="preserve"> frequency offset</w:t>
      </w:r>
      <w:r>
        <w:rPr>
          <w:rFonts w:eastAsia="맑은 고딕"/>
          <w:color w:val="000000"/>
          <w:sz w:val="22"/>
          <w:szCs w:val="22"/>
        </w:rPr>
        <w:t xml:space="preserve"> in each spot beam.</w:t>
      </w:r>
    </w:p>
    <w:p w14:paraId="31F7BD48" w14:textId="77777777" w:rsidR="0066323D" w:rsidRDefault="0066323D" w:rsidP="0066323D">
      <w:pPr>
        <w:jc w:val="both"/>
        <w:rPr>
          <w:rFonts w:eastAsia="맑은 고딕"/>
          <w:color w:val="000000"/>
          <w:sz w:val="22"/>
          <w:szCs w:val="22"/>
        </w:rPr>
      </w:pPr>
    </w:p>
    <w:p w14:paraId="08253D1D" w14:textId="77777777" w:rsidR="0066323D" w:rsidRDefault="0066323D" w:rsidP="0066323D">
      <w:pPr>
        <w:keepNext/>
        <w:jc w:val="center"/>
      </w:pPr>
      <w:r>
        <w:rPr>
          <w:rFonts w:eastAsia="맑은 고딕"/>
          <w:noProof/>
          <w:color w:val="000000"/>
          <w:sz w:val="22"/>
          <w:szCs w:val="22"/>
        </w:rPr>
        <w:drawing>
          <wp:inline distT="0" distB="0" distL="0" distR="0" wp14:anchorId="095C8329" wp14:editId="3D2065A1">
            <wp:extent cx="4041648" cy="188366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doppler_precompensation.png"/>
                    <pic:cNvPicPr/>
                  </pic:nvPicPr>
                  <pic:blipFill>
                    <a:blip r:embed="rId8">
                      <a:extLst>
                        <a:ext uri="{28A0092B-C50C-407E-A947-70E740481C1C}">
                          <a14:useLocalDpi xmlns:a14="http://schemas.microsoft.com/office/drawing/2010/main" val="0"/>
                        </a:ext>
                      </a:extLst>
                    </a:blip>
                    <a:stretch>
                      <a:fillRect/>
                    </a:stretch>
                  </pic:blipFill>
                  <pic:spPr>
                    <a:xfrm>
                      <a:off x="0" y="0"/>
                      <a:ext cx="4041648" cy="1883664"/>
                    </a:xfrm>
                    <a:prstGeom prst="rect">
                      <a:avLst/>
                    </a:prstGeom>
                  </pic:spPr>
                </pic:pic>
              </a:graphicData>
            </a:graphic>
          </wp:inline>
        </w:drawing>
      </w:r>
    </w:p>
    <w:p w14:paraId="17A63FBA" w14:textId="77777777" w:rsidR="0066323D" w:rsidRPr="00A127E5" w:rsidRDefault="0066323D" w:rsidP="0066323D">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2</w:t>
      </w:r>
      <w:r w:rsidRPr="00A127E5">
        <w:rPr>
          <w:sz w:val="18"/>
          <w:szCs w:val="18"/>
        </w:rPr>
        <w:t xml:space="preserve">: </w:t>
      </w:r>
      <w:r>
        <w:rPr>
          <w:sz w:val="18"/>
          <w:szCs w:val="18"/>
        </w:rPr>
        <w:t xml:space="preserve">Multi-valued </w:t>
      </w:r>
      <w:r w:rsidRPr="00A127E5">
        <w:rPr>
          <w:sz w:val="18"/>
          <w:szCs w:val="18"/>
        </w:rPr>
        <w:t>Doppler pre-compensation</w:t>
      </w:r>
    </w:p>
    <w:p w14:paraId="5FE79344" w14:textId="77777777" w:rsidR="0066323D" w:rsidRDefault="0066323D" w:rsidP="0066323D">
      <w:pPr>
        <w:wordWrap/>
        <w:jc w:val="both"/>
        <w:rPr>
          <w:rFonts w:eastAsia="맑은 고딕"/>
          <w:color w:val="000000"/>
          <w:sz w:val="22"/>
          <w:szCs w:val="22"/>
        </w:rPr>
      </w:pPr>
    </w:p>
    <w:p w14:paraId="52098998" w14:textId="57ECF90E" w:rsidR="0066323D" w:rsidRPr="003B7449" w:rsidRDefault="003B7449" w:rsidP="0066323D">
      <w:pPr>
        <w:wordWrap/>
        <w:jc w:val="both"/>
        <w:rPr>
          <w:rFonts w:eastAsia="맑은 고딕"/>
          <w:b/>
          <w:color w:val="000000"/>
          <w:sz w:val="22"/>
          <w:szCs w:val="22"/>
        </w:rPr>
      </w:pPr>
      <w:bookmarkStart w:id="8" w:name="_Ref53564435"/>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3F2402">
        <w:rPr>
          <w:b/>
          <w:noProof/>
          <w:sz w:val="22"/>
          <w:szCs w:val="22"/>
        </w:rPr>
        <w:t>2</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idle UE cell reselection.</w:t>
      </w:r>
      <w:bookmarkEnd w:id="8"/>
    </w:p>
    <w:p w14:paraId="52F069A7" w14:textId="77777777" w:rsidR="0066323D" w:rsidRDefault="0066323D" w:rsidP="0066323D">
      <w:pPr>
        <w:wordWrap/>
        <w:jc w:val="both"/>
        <w:rPr>
          <w:rFonts w:eastAsia="맑은 고딕"/>
          <w:color w:val="000000"/>
          <w:sz w:val="22"/>
          <w:szCs w:val="22"/>
        </w:rPr>
      </w:pPr>
    </w:p>
    <w:p w14:paraId="6C1218E9" w14:textId="77777777" w:rsidR="0066323D" w:rsidRPr="00A50E3E" w:rsidRDefault="0066323D" w:rsidP="0066323D">
      <w:pPr>
        <w:jc w:val="both"/>
        <w:rPr>
          <w:rFonts w:eastAsia="맑은 고딕"/>
          <w:color w:val="000000"/>
          <w:sz w:val="22"/>
          <w:szCs w:val="22"/>
        </w:rPr>
      </w:pPr>
      <w:r>
        <w:rPr>
          <w:rFonts w:eastAsia="맑은 고딕"/>
          <w:color w:val="000000"/>
          <w:sz w:val="22"/>
          <w:szCs w:val="22"/>
        </w:rPr>
        <w:t xml:space="preserve">The </w:t>
      </w:r>
      <w:r w:rsidRPr="00FA0581">
        <w:rPr>
          <w:rFonts w:eastAsia="맑은 고딕"/>
          <w:color w:val="000000"/>
          <w:sz w:val="22"/>
          <w:szCs w:val="22"/>
        </w:rPr>
        <w:t>UE regularly perform</w:t>
      </w:r>
      <w:r>
        <w:rPr>
          <w:rFonts w:eastAsia="맑은 고딕"/>
          <w:color w:val="000000"/>
          <w:sz w:val="22"/>
          <w:szCs w:val="22"/>
        </w:rPr>
        <w:t>s</w:t>
      </w:r>
      <w:r w:rsidRPr="00FA0581">
        <w:rPr>
          <w:rFonts w:eastAsia="맑은 고딕"/>
          <w:color w:val="000000"/>
          <w:sz w:val="22"/>
          <w:szCs w:val="22"/>
        </w:rPr>
        <w:t xml:space="preserve"> intra-frequency a</w:t>
      </w:r>
      <w:r>
        <w:rPr>
          <w:rFonts w:eastAsia="맑은 고딕"/>
          <w:color w:val="000000"/>
          <w:sz w:val="22"/>
          <w:szCs w:val="22"/>
        </w:rPr>
        <w:t xml:space="preserve">nd inter-frequency measurements, including RSRP and/or RSRQ, </w:t>
      </w:r>
      <w:r>
        <w:rPr>
          <w:rFonts w:eastAsia="맑은 고딕"/>
          <w:color w:val="000000"/>
          <w:sz w:val="22"/>
          <w:szCs w:val="22"/>
        </w:rPr>
        <w:lastRenderedPageBreak/>
        <w:t xml:space="preserve">to enable </w:t>
      </w:r>
      <w:r w:rsidRPr="00FA0581">
        <w:rPr>
          <w:rFonts w:eastAsia="맑은 고딕"/>
          <w:color w:val="000000"/>
          <w:sz w:val="22"/>
          <w:szCs w:val="22"/>
        </w:rPr>
        <w:t>cell reselection.</w:t>
      </w:r>
      <w:r>
        <w:rPr>
          <w:rFonts w:eastAsia="맑은 고딕"/>
          <w:color w:val="000000"/>
          <w:sz w:val="22"/>
          <w:szCs w:val="22"/>
        </w:rPr>
        <w:t xml:space="preserve">  If the BS indicates the</w:t>
      </w:r>
      <w:r w:rsidRPr="00FA0581">
        <w:rPr>
          <w:rFonts w:eastAsia="맑은 고딕"/>
          <w:color w:val="000000"/>
          <w:sz w:val="22"/>
          <w:szCs w:val="22"/>
        </w:rPr>
        <w:t xml:space="preserve"> multi-D</w:t>
      </w:r>
      <w:r>
        <w:rPr>
          <w:rFonts w:eastAsia="맑은 고딕"/>
          <w:color w:val="000000"/>
          <w:sz w:val="22"/>
          <w:szCs w:val="22"/>
        </w:rPr>
        <w:t xml:space="preserve">oppler 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for SSB-based DL sync</w:t>
      </w:r>
      <w:r>
        <w:rPr>
          <w:rFonts w:eastAsia="맑은 고딕"/>
          <w:color w:val="000000"/>
          <w:sz w:val="22"/>
          <w:szCs w:val="22"/>
        </w:rPr>
        <w:t xml:space="preserve">hronization – thereby improving its </w:t>
      </w:r>
      <w:r w:rsidRPr="00FA0581">
        <w:rPr>
          <w:rFonts w:eastAsia="맑은 고딕"/>
          <w:color w:val="000000"/>
          <w:sz w:val="22"/>
          <w:szCs w:val="22"/>
        </w:rPr>
        <w:t xml:space="preserve">timing and FO estimation, as well as </w:t>
      </w:r>
      <w:r>
        <w:rPr>
          <w:rFonts w:eastAsia="맑은 고딕"/>
          <w:color w:val="000000"/>
          <w:sz w:val="22"/>
          <w:szCs w:val="22"/>
        </w:rPr>
        <w:t>the accuracy of its RSRP measurements.</w:t>
      </w:r>
    </w:p>
    <w:p w14:paraId="0D529C68" w14:textId="77777777" w:rsidR="0066323D" w:rsidRPr="00FA0581" w:rsidRDefault="0066323D" w:rsidP="0066323D">
      <w:pPr>
        <w:wordWrap/>
        <w:jc w:val="both"/>
        <w:rPr>
          <w:rFonts w:eastAsia="맑은 고딕"/>
          <w:color w:val="000000"/>
          <w:sz w:val="22"/>
          <w:szCs w:val="22"/>
        </w:rPr>
      </w:pPr>
    </w:p>
    <w:p w14:paraId="3546FBB4" w14:textId="6A7CAB5E" w:rsidR="0066323D" w:rsidRPr="003B7449" w:rsidRDefault="003B7449" w:rsidP="0066323D">
      <w:pPr>
        <w:wordWrap/>
        <w:jc w:val="both"/>
        <w:rPr>
          <w:rFonts w:eastAsia="맑은 고딕"/>
          <w:b/>
          <w:color w:val="000000"/>
          <w:sz w:val="22"/>
          <w:szCs w:val="22"/>
        </w:rPr>
      </w:pPr>
      <w:bookmarkStart w:id="9" w:name="_Ref53564439"/>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3F2402">
        <w:rPr>
          <w:b/>
          <w:noProof/>
          <w:sz w:val="22"/>
          <w:szCs w:val="22"/>
        </w:rPr>
        <w:t>3</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handover.</w:t>
      </w:r>
      <w:bookmarkEnd w:id="9"/>
    </w:p>
    <w:p w14:paraId="7F32EB86" w14:textId="77777777" w:rsidR="0066323D" w:rsidRDefault="0066323D" w:rsidP="0066323D">
      <w:pPr>
        <w:wordWrap/>
        <w:jc w:val="both"/>
        <w:rPr>
          <w:rFonts w:eastAsia="맑은 고딕"/>
          <w:color w:val="000000"/>
          <w:sz w:val="22"/>
          <w:szCs w:val="22"/>
        </w:rPr>
      </w:pPr>
    </w:p>
    <w:p w14:paraId="5F826A4A" w14:textId="77777777" w:rsidR="0066323D" w:rsidRPr="00FA0581" w:rsidRDefault="0066323D" w:rsidP="0066323D">
      <w:pPr>
        <w:wordWrap/>
        <w:jc w:val="both"/>
        <w:rPr>
          <w:rFonts w:eastAsia="맑은 고딕"/>
          <w:color w:val="000000"/>
          <w:sz w:val="22"/>
          <w:szCs w:val="22"/>
        </w:rPr>
      </w:pPr>
      <w:r>
        <w:rPr>
          <w:rFonts w:eastAsia="맑은 고딕"/>
          <w:color w:val="000000"/>
          <w:sz w:val="22"/>
          <w:szCs w:val="22"/>
        </w:rPr>
        <w:t>The UE may perform SSB-</w:t>
      </w:r>
      <w:r w:rsidRPr="00FA0581">
        <w:rPr>
          <w:rFonts w:eastAsia="맑은 고딕"/>
          <w:color w:val="000000"/>
          <w:sz w:val="22"/>
          <w:szCs w:val="22"/>
        </w:rPr>
        <w:t>based measurement</w:t>
      </w:r>
      <w:r>
        <w:rPr>
          <w:rFonts w:eastAsia="맑은 고딕"/>
          <w:color w:val="000000"/>
          <w:sz w:val="22"/>
          <w:szCs w:val="22"/>
        </w:rPr>
        <w:t>s</w:t>
      </w:r>
      <w:r w:rsidRPr="00FA0581">
        <w:rPr>
          <w:rFonts w:eastAsia="맑은 고딕"/>
          <w:color w:val="000000"/>
          <w:sz w:val="22"/>
          <w:szCs w:val="22"/>
        </w:rPr>
        <w:t xml:space="preserve"> </w:t>
      </w:r>
      <w:r>
        <w:rPr>
          <w:rFonts w:eastAsia="맑은 고딕"/>
          <w:color w:val="000000"/>
          <w:sz w:val="22"/>
          <w:szCs w:val="22"/>
        </w:rPr>
        <w:t xml:space="preserve">to enable cell </w:t>
      </w:r>
      <w:r w:rsidRPr="00FA0581">
        <w:rPr>
          <w:rFonts w:eastAsia="맑은 고딕"/>
          <w:color w:val="000000"/>
          <w:sz w:val="22"/>
          <w:szCs w:val="22"/>
        </w:rPr>
        <w:t>handover</w:t>
      </w:r>
      <w:r>
        <w:rPr>
          <w:rFonts w:eastAsia="맑은 고딕"/>
          <w:color w:val="000000"/>
          <w:sz w:val="22"/>
          <w:szCs w:val="22"/>
        </w:rPr>
        <w:t>.  If the BS indicates the</w:t>
      </w:r>
      <w:r w:rsidRPr="00FA0581">
        <w:rPr>
          <w:rFonts w:eastAsia="맑은 고딕"/>
          <w:color w:val="000000"/>
          <w:sz w:val="22"/>
          <w:szCs w:val="22"/>
        </w:rPr>
        <w:t xml:space="preserve"> multi-D</w:t>
      </w:r>
      <w:r>
        <w:rPr>
          <w:rFonts w:eastAsia="맑은 고딕"/>
          <w:color w:val="000000"/>
          <w:sz w:val="22"/>
          <w:szCs w:val="22"/>
        </w:rPr>
        <w:t xml:space="preserve">oppler 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of SSB</w:t>
      </w:r>
      <w:r>
        <w:rPr>
          <w:rFonts w:eastAsia="맑은 고딕"/>
          <w:color w:val="000000"/>
          <w:sz w:val="22"/>
          <w:szCs w:val="22"/>
        </w:rPr>
        <w:t>s – thereby improving the accuracy of its measurements.</w:t>
      </w:r>
    </w:p>
    <w:p w14:paraId="29348767" w14:textId="77777777" w:rsidR="0066323D" w:rsidRDefault="0066323D" w:rsidP="0066323D">
      <w:pPr>
        <w:wordWrap/>
        <w:jc w:val="both"/>
        <w:rPr>
          <w:rFonts w:eastAsia="맑은 고딕"/>
          <w:color w:val="000000"/>
          <w:sz w:val="22"/>
          <w:szCs w:val="22"/>
        </w:rPr>
      </w:pPr>
    </w:p>
    <w:p w14:paraId="5F3B512F" w14:textId="1787C3B6" w:rsidR="0066323D" w:rsidRPr="003B7449" w:rsidRDefault="003B7449" w:rsidP="003B7449">
      <w:pPr>
        <w:wordWrap/>
        <w:ind w:left="1417" w:hangingChars="644" w:hanging="1417"/>
        <w:jc w:val="both"/>
        <w:rPr>
          <w:rFonts w:eastAsia="맑은 고딕"/>
          <w:b/>
          <w:color w:val="000000"/>
          <w:sz w:val="22"/>
          <w:szCs w:val="22"/>
        </w:rPr>
      </w:pPr>
      <w:bookmarkStart w:id="10" w:name="_Ref53564441"/>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3F2402">
        <w:rPr>
          <w:b/>
          <w:noProof/>
          <w:sz w:val="22"/>
          <w:szCs w:val="22"/>
        </w:rPr>
        <w:t>4</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data channel reception.</w:t>
      </w:r>
      <w:bookmarkEnd w:id="10"/>
    </w:p>
    <w:p w14:paraId="01A65EF4" w14:textId="77777777" w:rsidR="0066323D" w:rsidRPr="00FA0581" w:rsidRDefault="0066323D" w:rsidP="0066323D">
      <w:pPr>
        <w:wordWrap/>
        <w:jc w:val="both"/>
        <w:rPr>
          <w:rFonts w:eastAsia="맑은 고딕"/>
          <w:color w:val="000000"/>
          <w:sz w:val="22"/>
          <w:szCs w:val="22"/>
        </w:rPr>
      </w:pPr>
    </w:p>
    <w:p w14:paraId="6695792D" w14:textId="77777777" w:rsidR="0066323D" w:rsidRPr="00C80980" w:rsidRDefault="0066323D" w:rsidP="0066323D">
      <w:pPr>
        <w:wordWrap/>
        <w:jc w:val="both"/>
        <w:rPr>
          <w:rFonts w:eastAsia="맑은 고딕"/>
          <w:color w:val="000000"/>
          <w:sz w:val="22"/>
          <w:szCs w:val="22"/>
        </w:rPr>
      </w:pPr>
      <w:r w:rsidRPr="00FA0581">
        <w:rPr>
          <w:rFonts w:eastAsia="맑은 고딕"/>
          <w:color w:val="000000"/>
          <w:sz w:val="22"/>
          <w:szCs w:val="22"/>
        </w:rPr>
        <w:t>Scheduli</w:t>
      </w:r>
      <w:r>
        <w:rPr>
          <w:rFonts w:eastAsia="맑은 고딕"/>
          <w:color w:val="000000"/>
          <w:sz w:val="22"/>
          <w:szCs w:val="22"/>
        </w:rPr>
        <w:t xml:space="preserve">ng flexibility can be improved </w:t>
      </w:r>
      <w:r w:rsidRPr="00FA0581">
        <w:rPr>
          <w:rFonts w:eastAsia="맑은 고딕"/>
          <w:color w:val="000000"/>
          <w:sz w:val="22"/>
          <w:szCs w:val="22"/>
        </w:rPr>
        <w:t xml:space="preserve">by enabling </w:t>
      </w:r>
      <w:r>
        <w:rPr>
          <w:rFonts w:eastAsia="맑은 고딕"/>
          <w:color w:val="000000"/>
          <w:sz w:val="22"/>
          <w:szCs w:val="22"/>
        </w:rPr>
        <w:t>UEs to be scheduled at any slot, as the BS would indicate t</w:t>
      </w:r>
      <w:r w:rsidRPr="00FA0581">
        <w:rPr>
          <w:rFonts w:eastAsia="맑은 고딕"/>
          <w:color w:val="000000"/>
          <w:sz w:val="22"/>
          <w:szCs w:val="22"/>
        </w:rPr>
        <w:t xml:space="preserve">he Doppler value to be pre-compensated at </w:t>
      </w:r>
      <w:r>
        <w:rPr>
          <w:rFonts w:eastAsia="맑은 고딕"/>
          <w:color w:val="000000"/>
          <w:sz w:val="22"/>
          <w:szCs w:val="22"/>
        </w:rPr>
        <w:t>that</w:t>
      </w:r>
      <w:r w:rsidRPr="00FA0581">
        <w:rPr>
          <w:rFonts w:eastAsia="맑은 고딕"/>
          <w:color w:val="000000"/>
          <w:sz w:val="22"/>
          <w:szCs w:val="22"/>
        </w:rPr>
        <w:t xml:space="preserve"> slot</w:t>
      </w:r>
      <w:r>
        <w:rPr>
          <w:rFonts w:eastAsia="맑은 고딕"/>
          <w:color w:val="000000"/>
          <w:sz w:val="22"/>
          <w:szCs w:val="22"/>
        </w:rPr>
        <w:t>.</w:t>
      </w:r>
    </w:p>
    <w:p w14:paraId="0F569895" w14:textId="77777777" w:rsidR="0066323D" w:rsidRDefault="0066323D" w:rsidP="0066323D">
      <w:pPr>
        <w:wordWrap/>
        <w:jc w:val="both"/>
        <w:rPr>
          <w:rFonts w:eastAsia="맑은 고딕"/>
          <w:b/>
          <w:color w:val="000000"/>
          <w:sz w:val="22"/>
          <w:szCs w:val="22"/>
        </w:rPr>
      </w:pPr>
    </w:p>
    <w:p w14:paraId="05FDFEB4" w14:textId="72CEED08" w:rsidR="0066323D" w:rsidRDefault="003B7449" w:rsidP="0066323D">
      <w:pPr>
        <w:spacing w:after="240" w:line="276" w:lineRule="auto"/>
        <w:rPr>
          <w:rFonts w:eastAsia="맑은 고딕"/>
          <w:b/>
          <w:color w:val="000000"/>
          <w:sz w:val="22"/>
          <w:szCs w:val="22"/>
        </w:rPr>
      </w:pPr>
      <w:bookmarkStart w:id="11" w:name="_Ref53564460"/>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3F2402">
        <w:rPr>
          <w:b/>
          <w:noProof/>
          <w:sz w:val="22"/>
          <w:szCs w:val="22"/>
        </w:rPr>
        <w:t>4</w:t>
      </w:r>
      <w:r w:rsidRPr="003B7449">
        <w:rPr>
          <w:b/>
          <w:sz w:val="22"/>
          <w:szCs w:val="22"/>
        </w:rPr>
        <w:fldChar w:fldCharType="end"/>
      </w:r>
      <w:r w:rsidRPr="003B7449">
        <w:rPr>
          <w:b/>
          <w:sz w:val="22"/>
          <w:szCs w:val="22"/>
        </w:rPr>
        <w:t xml:space="preserve">: </w:t>
      </w:r>
      <w:r w:rsidR="002934E4" w:rsidRPr="002934E4">
        <w:rPr>
          <w:rFonts w:eastAsia="맑은 고딕"/>
          <w:b/>
          <w:color w:val="000000"/>
          <w:sz w:val="22"/>
          <w:szCs w:val="22"/>
        </w:rPr>
        <w:t xml:space="preserve">A </w:t>
      </w:r>
      <w:r w:rsidR="002934E4">
        <w:rPr>
          <w:rFonts w:eastAsia="맑은 고딕"/>
          <w:b/>
          <w:color w:val="000000"/>
          <w:sz w:val="22"/>
          <w:szCs w:val="22"/>
        </w:rPr>
        <w:t>gNB</w:t>
      </w:r>
      <w:r w:rsidR="0066323D" w:rsidRPr="003B7449">
        <w:rPr>
          <w:rFonts w:eastAsia="맑은 고딕"/>
          <w:b/>
          <w:color w:val="000000"/>
          <w:sz w:val="22"/>
          <w:szCs w:val="22"/>
        </w:rPr>
        <w:t>/satellite applies different values of Doppler pre-compensation to different SSBs</w:t>
      </w:r>
      <w:r>
        <w:rPr>
          <w:rFonts w:eastAsia="맑은 고딕"/>
          <w:b/>
          <w:color w:val="000000"/>
          <w:sz w:val="22"/>
          <w:szCs w:val="22"/>
        </w:rPr>
        <w:t>.</w:t>
      </w:r>
      <w:bookmarkEnd w:id="11"/>
    </w:p>
    <w:p w14:paraId="4B26DF92" w14:textId="2E605738" w:rsidR="000947B9" w:rsidRDefault="000947B9" w:rsidP="0066323D">
      <w:pPr>
        <w:spacing w:after="240" w:line="276" w:lineRule="auto"/>
        <w:rPr>
          <w:rFonts w:eastAsia="맑은 고딕"/>
          <w:b/>
          <w:color w:val="000000"/>
          <w:sz w:val="22"/>
          <w:szCs w:val="22"/>
        </w:rPr>
      </w:pPr>
    </w:p>
    <w:p w14:paraId="0A6F8437" w14:textId="68353663" w:rsidR="000947B9" w:rsidRDefault="000947B9" w:rsidP="000947B9">
      <w:pPr>
        <w:pStyle w:val="1"/>
      </w:pPr>
      <w:r w:rsidRPr="000947B9">
        <w:t>PRACH resource allocatio</w:t>
      </w:r>
      <w:r>
        <w:t>n</w:t>
      </w:r>
    </w:p>
    <w:p w14:paraId="6D62401F" w14:textId="77777777" w:rsidR="000947B9" w:rsidRDefault="000947B9" w:rsidP="000947B9">
      <w:pPr>
        <w:wordWrap/>
        <w:jc w:val="both"/>
        <w:rPr>
          <w:rFonts w:eastAsia="맑은 고딕"/>
          <w:color w:val="000000"/>
          <w:sz w:val="22"/>
          <w:szCs w:val="22"/>
        </w:rPr>
      </w:pPr>
      <w:r w:rsidRPr="00A349CA">
        <w:rPr>
          <w:sz w:val="22"/>
          <w:szCs w:val="18"/>
        </w:rPr>
        <w:t xml:space="preserve">The </w:t>
      </w:r>
      <w:r>
        <w:rPr>
          <w:sz w:val="22"/>
          <w:szCs w:val="18"/>
        </w:rPr>
        <w:t>gNB</w:t>
      </w:r>
      <w:r w:rsidRPr="00A349CA">
        <w:rPr>
          <w:sz w:val="22"/>
          <w:szCs w:val="18"/>
        </w:rPr>
        <w:t xml:space="preserve"> can accommodate the </w:t>
      </w:r>
      <w:r>
        <w:rPr>
          <w:sz w:val="22"/>
          <w:szCs w:val="18"/>
        </w:rPr>
        <w:t>GNSS awareness</w:t>
      </w:r>
      <w:r w:rsidRPr="00A349CA">
        <w:rPr>
          <w:sz w:val="22"/>
          <w:szCs w:val="18"/>
        </w:rPr>
        <w:t xml:space="preserve"> of a UE when performing PRACH resource allocation for initial access. For example, </w:t>
      </w:r>
      <w:r>
        <w:rPr>
          <w:sz w:val="22"/>
          <w:szCs w:val="18"/>
        </w:rPr>
        <w:t>the gNB can allocate</w:t>
      </w:r>
      <w:r w:rsidRPr="00A349CA">
        <w:rPr>
          <w:sz w:val="22"/>
          <w:szCs w:val="18"/>
        </w:rPr>
        <w:t xml:space="preserve"> one set of PRACH time resources to all GNSS-</w:t>
      </w:r>
      <w:r>
        <w:rPr>
          <w:sz w:val="22"/>
          <w:szCs w:val="18"/>
        </w:rPr>
        <w:t>aware</w:t>
      </w:r>
      <w:r w:rsidRPr="00A349CA">
        <w:rPr>
          <w:sz w:val="22"/>
          <w:szCs w:val="18"/>
        </w:rPr>
        <w:t xml:space="preserve"> UEs and </w:t>
      </w:r>
      <w:r>
        <w:rPr>
          <w:sz w:val="22"/>
          <w:szCs w:val="18"/>
        </w:rPr>
        <w:t>a separate</w:t>
      </w:r>
      <w:r w:rsidRPr="00A349CA">
        <w:rPr>
          <w:sz w:val="22"/>
          <w:szCs w:val="18"/>
        </w:rPr>
        <w:t xml:space="preserve"> set of PRACH time resour</w:t>
      </w:r>
      <w:r>
        <w:rPr>
          <w:sz w:val="22"/>
          <w:szCs w:val="18"/>
        </w:rPr>
        <w:t>ces to all GNSS-challenged UEs.</w:t>
      </w:r>
    </w:p>
    <w:p w14:paraId="6D42DB45" w14:textId="77777777" w:rsidR="000947B9" w:rsidRDefault="000947B9" w:rsidP="000947B9">
      <w:pPr>
        <w:wordWrap/>
        <w:jc w:val="both"/>
        <w:rPr>
          <w:rFonts w:eastAsia="맑은 고딕"/>
          <w:color w:val="000000"/>
          <w:sz w:val="22"/>
          <w:szCs w:val="22"/>
        </w:rPr>
      </w:pPr>
    </w:p>
    <w:p w14:paraId="38E2E991" w14:textId="298CF050" w:rsidR="000947B9" w:rsidRPr="000947B9" w:rsidRDefault="000947B9" w:rsidP="000947B9">
      <w:pPr>
        <w:pStyle w:val="ac"/>
        <w:ind w:left="1276" w:hangingChars="580" w:hanging="1276"/>
        <w:rPr>
          <w:rFonts w:eastAsia="맑은 고딕"/>
          <w:color w:val="000000"/>
          <w:sz w:val="22"/>
          <w:szCs w:val="22"/>
        </w:rPr>
      </w:pPr>
      <w:bookmarkStart w:id="12" w:name="_Ref54363512"/>
      <w:r w:rsidRPr="000947B9">
        <w:rPr>
          <w:sz w:val="22"/>
          <w:szCs w:val="22"/>
        </w:rPr>
        <w:t xml:space="preserve">Observation </w:t>
      </w:r>
      <w:r w:rsidRPr="000947B9">
        <w:rPr>
          <w:sz w:val="22"/>
          <w:szCs w:val="22"/>
        </w:rPr>
        <w:fldChar w:fldCharType="begin"/>
      </w:r>
      <w:r w:rsidRPr="000947B9">
        <w:rPr>
          <w:sz w:val="22"/>
          <w:szCs w:val="22"/>
        </w:rPr>
        <w:instrText xml:space="preserve"> SEQ Observation \* ARABIC </w:instrText>
      </w:r>
      <w:r w:rsidRPr="000947B9">
        <w:rPr>
          <w:sz w:val="22"/>
          <w:szCs w:val="22"/>
        </w:rPr>
        <w:fldChar w:fldCharType="separate"/>
      </w:r>
      <w:r w:rsidR="003F2402">
        <w:rPr>
          <w:noProof/>
          <w:sz w:val="22"/>
          <w:szCs w:val="22"/>
        </w:rPr>
        <w:t>5</w:t>
      </w:r>
      <w:r w:rsidRPr="000947B9">
        <w:rPr>
          <w:sz w:val="22"/>
          <w:szCs w:val="22"/>
        </w:rPr>
        <w:fldChar w:fldCharType="end"/>
      </w:r>
      <w:r w:rsidRPr="000947B9">
        <w:rPr>
          <w:sz w:val="22"/>
          <w:szCs w:val="22"/>
        </w:rPr>
        <w:t>: A GNSS-aware UE can determine the time and frequency pre-compensation that it should apply when transmitting a PRACH preamble. This can result in improved preamble detection performance for all GNSS-aware UEs.</w:t>
      </w:r>
      <w:bookmarkEnd w:id="12"/>
    </w:p>
    <w:p w14:paraId="7427311F" w14:textId="77777777" w:rsidR="000947B9" w:rsidRPr="000947B9" w:rsidRDefault="000947B9" w:rsidP="000947B9">
      <w:pPr>
        <w:wordWrap/>
        <w:ind w:left="1276" w:hangingChars="580" w:hanging="1276"/>
        <w:jc w:val="both"/>
        <w:rPr>
          <w:sz w:val="22"/>
          <w:szCs w:val="22"/>
        </w:rPr>
      </w:pPr>
    </w:p>
    <w:p w14:paraId="1E945D1D" w14:textId="2CB49E20" w:rsidR="000947B9" w:rsidRPr="000947B9" w:rsidRDefault="000947B9" w:rsidP="000947B9">
      <w:pPr>
        <w:wordWrap/>
        <w:ind w:left="1276" w:hangingChars="580" w:hanging="1276"/>
        <w:jc w:val="both"/>
        <w:rPr>
          <w:rFonts w:eastAsia="맑은 고딕"/>
          <w:b/>
          <w:color w:val="000000"/>
          <w:sz w:val="22"/>
          <w:szCs w:val="22"/>
        </w:rPr>
      </w:pPr>
      <w:bookmarkStart w:id="13" w:name="_Ref54363513"/>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sidR="003F2402">
        <w:rPr>
          <w:b/>
          <w:noProof/>
          <w:sz w:val="22"/>
          <w:szCs w:val="22"/>
        </w:rPr>
        <w:t>6</w:t>
      </w:r>
      <w:r w:rsidRPr="000947B9">
        <w:rPr>
          <w:b/>
          <w:sz w:val="22"/>
          <w:szCs w:val="22"/>
        </w:rPr>
        <w:fldChar w:fldCharType="end"/>
      </w:r>
      <w:r w:rsidRPr="000947B9">
        <w:rPr>
          <w:b/>
          <w:sz w:val="22"/>
          <w:szCs w:val="22"/>
        </w:rPr>
        <w:t>: The PRACH guard time for GNSS-aware UEs can be smaller than the PRACH guard time for GNSS-challenged UEs.</w:t>
      </w:r>
      <w:bookmarkEnd w:id="13"/>
    </w:p>
    <w:p w14:paraId="3CC4D5E9" w14:textId="77777777" w:rsidR="000947B9" w:rsidRPr="000947B9" w:rsidRDefault="000947B9" w:rsidP="00C81AC3">
      <w:pPr>
        <w:rPr>
          <w:sz w:val="22"/>
          <w:szCs w:val="22"/>
        </w:rPr>
      </w:pPr>
    </w:p>
    <w:p w14:paraId="664F2435" w14:textId="372B17A8" w:rsidR="000947B9" w:rsidRPr="000947B9" w:rsidRDefault="000947B9" w:rsidP="00C81AC3">
      <w:pPr>
        <w:rPr>
          <w:b/>
          <w:sz w:val="22"/>
          <w:szCs w:val="22"/>
        </w:rPr>
      </w:pPr>
      <w:bookmarkStart w:id="14" w:name="_Ref54363515"/>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sidR="003F2402">
        <w:rPr>
          <w:b/>
          <w:noProof/>
          <w:sz w:val="22"/>
          <w:szCs w:val="22"/>
        </w:rPr>
        <w:t>7</w:t>
      </w:r>
      <w:r w:rsidRPr="000947B9">
        <w:rPr>
          <w:b/>
          <w:sz w:val="22"/>
          <w:szCs w:val="22"/>
        </w:rPr>
        <w:fldChar w:fldCharType="end"/>
      </w:r>
      <w:r w:rsidRPr="000947B9">
        <w:rPr>
          <w:b/>
          <w:sz w:val="22"/>
          <w:szCs w:val="22"/>
        </w:rPr>
        <w:t>: If PRACH preamble transmissions from GNSS-aware UEs do not interfere with PRACH preamble transmissions from GNSS-challenged UEs, preamble detection performance for all GNSS-challenged UEs improves.</w:t>
      </w:r>
      <w:bookmarkEnd w:id="14"/>
    </w:p>
    <w:p w14:paraId="052CF9EC" w14:textId="77777777" w:rsidR="000947B9" w:rsidRPr="000947B9" w:rsidRDefault="000947B9" w:rsidP="00C81AC3">
      <w:pPr>
        <w:rPr>
          <w:sz w:val="22"/>
          <w:szCs w:val="22"/>
        </w:rPr>
      </w:pPr>
    </w:p>
    <w:p w14:paraId="297C7F18" w14:textId="77777777" w:rsidR="000947B9" w:rsidRPr="000947B9" w:rsidRDefault="000947B9" w:rsidP="00C81AC3">
      <w:pPr>
        <w:rPr>
          <w:sz w:val="22"/>
          <w:szCs w:val="22"/>
        </w:rPr>
      </w:pPr>
      <w:r w:rsidRPr="000947B9">
        <w:rPr>
          <w:sz w:val="22"/>
          <w:szCs w:val="22"/>
        </w:rPr>
        <w:t>PRACH resources for GNSS-aware and GNSS-challenged UEs can be indicated by system information. The gNB can provide separate PRACH configuration indexes for GNSS-aware UEs and for GNSS-challenged UEs.</w:t>
      </w:r>
    </w:p>
    <w:p w14:paraId="28248394" w14:textId="77777777" w:rsidR="000947B9" w:rsidRPr="000947B9" w:rsidRDefault="000947B9" w:rsidP="00C81AC3">
      <w:pPr>
        <w:rPr>
          <w:rFonts w:eastAsia="맑은 고딕"/>
          <w:b/>
          <w:color w:val="000000"/>
          <w:sz w:val="22"/>
          <w:szCs w:val="22"/>
        </w:rPr>
      </w:pPr>
    </w:p>
    <w:p w14:paraId="1BD87FA9" w14:textId="40FA1D13" w:rsidR="000947B9" w:rsidRPr="00C81AC3" w:rsidRDefault="000947B9" w:rsidP="00C81AC3">
      <w:pPr>
        <w:rPr>
          <w:b/>
          <w:sz w:val="22"/>
          <w:szCs w:val="22"/>
        </w:rPr>
      </w:pPr>
      <w:bookmarkStart w:id="15" w:name="_Ref54363424"/>
      <w:r w:rsidRPr="00C81AC3">
        <w:rPr>
          <w:b/>
          <w:sz w:val="22"/>
          <w:szCs w:val="22"/>
        </w:rPr>
        <w:t xml:space="preserve">Proposal </w:t>
      </w:r>
      <w:r w:rsidRPr="00C81AC3">
        <w:rPr>
          <w:b/>
          <w:sz w:val="22"/>
          <w:szCs w:val="22"/>
        </w:rPr>
        <w:fldChar w:fldCharType="begin"/>
      </w:r>
      <w:r w:rsidRPr="00C81AC3">
        <w:rPr>
          <w:b/>
          <w:sz w:val="22"/>
          <w:szCs w:val="22"/>
        </w:rPr>
        <w:instrText xml:space="preserve"> SEQ Proposal \* ARABIC </w:instrText>
      </w:r>
      <w:r w:rsidRPr="00C81AC3">
        <w:rPr>
          <w:b/>
          <w:sz w:val="22"/>
          <w:szCs w:val="22"/>
        </w:rPr>
        <w:fldChar w:fldCharType="separate"/>
      </w:r>
      <w:r w:rsidR="003F2402" w:rsidRPr="00C81AC3">
        <w:rPr>
          <w:b/>
          <w:noProof/>
          <w:sz w:val="22"/>
          <w:szCs w:val="22"/>
        </w:rPr>
        <w:t>5</w:t>
      </w:r>
      <w:r w:rsidRPr="00C81AC3">
        <w:rPr>
          <w:b/>
          <w:sz w:val="22"/>
          <w:szCs w:val="22"/>
        </w:rPr>
        <w:fldChar w:fldCharType="end"/>
      </w:r>
      <w:r w:rsidRPr="00C81AC3">
        <w:rPr>
          <w:rFonts w:eastAsia="맑은 고딕"/>
          <w:b/>
          <w:color w:val="000000"/>
          <w:sz w:val="22"/>
          <w:szCs w:val="22"/>
        </w:rPr>
        <w:t>: A gNB can assign separate PRACH resources to GNSS-aware UEs and GNSS-challenged UEs.</w:t>
      </w:r>
      <w:bookmarkEnd w:id="15"/>
    </w:p>
    <w:p w14:paraId="0A3B2980" w14:textId="5E03FF65" w:rsidR="000947B9" w:rsidRDefault="000947B9" w:rsidP="0066323D">
      <w:pPr>
        <w:spacing w:after="240" w:line="276" w:lineRule="auto"/>
        <w:rPr>
          <w:b/>
          <w:sz w:val="22"/>
          <w:szCs w:val="22"/>
          <w:lang w:val="en-GB" w:eastAsia="en-US"/>
        </w:rPr>
      </w:pPr>
    </w:p>
    <w:p w14:paraId="66C3AE21" w14:textId="771ECF05" w:rsidR="00E42F7C" w:rsidRPr="00BF16D8" w:rsidRDefault="007458F0" w:rsidP="007458F0">
      <w:pPr>
        <w:pStyle w:val="1"/>
        <w:rPr>
          <w:rFonts w:eastAsia="맑은 고딕"/>
          <w:color w:val="000000"/>
          <w:lang w:eastAsia="ko-KR"/>
        </w:rPr>
      </w:pPr>
      <w:r w:rsidRPr="007458F0">
        <w:rPr>
          <w:rFonts w:eastAsia="맑은 고딕"/>
          <w:color w:val="000000"/>
          <w:lang w:val="en-US" w:eastAsia="ko-KR"/>
        </w:rPr>
        <w:lastRenderedPageBreak/>
        <w:t>Spot beam switching via BWP</w:t>
      </w:r>
      <w:r w:rsidR="00E42F7C" w:rsidRPr="00BF16D8">
        <w:rPr>
          <w:rFonts w:eastAsia="맑은 고딕" w:hint="eastAsia"/>
          <w:color w:val="000000"/>
          <w:lang w:eastAsia="ko-KR"/>
        </w:rPr>
        <w:t xml:space="preserve"> </w:t>
      </w:r>
    </w:p>
    <w:p w14:paraId="5A69A406" w14:textId="3BDD4D1A" w:rsidR="00C759DF" w:rsidRDefault="00657CB8" w:rsidP="00E42F7C">
      <w:pPr>
        <w:spacing w:after="240" w:line="276" w:lineRule="auto"/>
        <w:rPr>
          <w:b/>
          <w:sz w:val="22"/>
          <w:szCs w:val="22"/>
          <w:lang w:val="en-GB" w:eastAsia="en-US"/>
        </w:rPr>
      </w:pPr>
      <w:r>
        <w:rPr>
          <w:rFonts w:eastAsia="맑은 고딕"/>
          <w:noProof/>
          <w:color w:val="000000"/>
          <w:sz w:val="22"/>
          <w:szCs w:val="22"/>
        </w:rPr>
        <w:drawing>
          <wp:inline distT="0" distB="0" distL="0" distR="0" wp14:anchorId="136C142F" wp14:editId="6D77F0FD">
            <wp:extent cx="2802234" cy="18102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1706" cy="1829278"/>
                    </a:xfrm>
                    <a:prstGeom prst="rect">
                      <a:avLst/>
                    </a:prstGeom>
                    <a:noFill/>
                  </pic:spPr>
                </pic:pic>
              </a:graphicData>
            </a:graphic>
          </wp:inline>
        </w:drawing>
      </w:r>
      <w:r>
        <w:rPr>
          <w:rFonts w:eastAsia="맑은 고딕"/>
          <w:noProof/>
          <w:color w:val="000000"/>
          <w:sz w:val="22"/>
          <w:szCs w:val="22"/>
        </w:rPr>
        <w:drawing>
          <wp:inline distT="0" distB="0" distL="0" distR="0" wp14:anchorId="43D9C890" wp14:editId="1990868D">
            <wp:extent cx="3047671" cy="2019593"/>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6372" cy="2051866"/>
                    </a:xfrm>
                    <a:prstGeom prst="rect">
                      <a:avLst/>
                    </a:prstGeom>
                    <a:noFill/>
                  </pic:spPr>
                </pic:pic>
              </a:graphicData>
            </a:graphic>
          </wp:inline>
        </w:drawing>
      </w:r>
    </w:p>
    <w:p w14:paraId="4A4E1589" w14:textId="77777777" w:rsidR="00657CB8" w:rsidRDefault="00657CB8" w:rsidP="00657CB8">
      <w:pPr>
        <w:pStyle w:val="ac"/>
        <w:wordWrap/>
        <w:spacing w:before="0" w:after="0"/>
        <w:jc w:val="center"/>
        <w:rPr>
          <w:sz w:val="18"/>
          <w:szCs w:val="18"/>
        </w:rPr>
      </w:pPr>
    </w:p>
    <w:p w14:paraId="5D8B5746" w14:textId="32E9D8E1" w:rsidR="00657CB8" w:rsidRPr="00A127E5" w:rsidRDefault="00657CB8" w:rsidP="00657CB8">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3</w:t>
      </w:r>
      <w:r w:rsidRPr="00A127E5">
        <w:rPr>
          <w:sz w:val="18"/>
          <w:szCs w:val="18"/>
        </w:rPr>
        <w:t xml:space="preserve">: </w:t>
      </w:r>
      <w:r>
        <w:rPr>
          <w:sz w:val="18"/>
          <w:szCs w:val="18"/>
        </w:rPr>
        <w:t xml:space="preserve">Satellites with multiple spot beams and </w:t>
      </w:r>
      <w:r w:rsidR="006C290E">
        <w:rPr>
          <w:sz w:val="18"/>
          <w:szCs w:val="18"/>
        </w:rPr>
        <w:t>different amount of</w:t>
      </w:r>
      <w:r>
        <w:rPr>
          <w:sz w:val="18"/>
          <w:szCs w:val="18"/>
        </w:rPr>
        <w:t xml:space="preserve"> </w:t>
      </w:r>
      <w:r w:rsidRPr="00A127E5">
        <w:rPr>
          <w:sz w:val="18"/>
          <w:szCs w:val="18"/>
        </w:rPr>
        <w:t>Doppler pre-compensation</w:t>
      </w:r>
    </w:p>
    <w:p w14:paraId="5CE5BDC0" w14:textId="7DA89F55" w:rsidR="00C759DF" w:rsidRDefault="00C759DF" w:rsidP="0066323D">
      <w:pPr>
        <w:spacing w:after="240" w:line="276" w:lineRule="auto"/>
        <w:rPr>
          <w:b/>
          <w:sz w:val="22"/>
          <w:szCs w:val="22"/>
          <w:lang w:val="en-GB" w:eastAsia="en-US"/>
        </w:rPr>
      </w:pPr>
    </w:p>
    <w:p w14:paraId="4B872BC0" w14:textId="4EC1BE88" w:rsidR="00373431" w:rsidRDefault="00657CB8" w:rsidP="00B33082">
      <w:pPr>
        <w:wordWrap/>
        <w:spacing w:after="240" w:line="276" w:lineRule="auto"/>
        <w:rPr>
          <w:sz w:val="22"/>
          <w:szCs w:val="22"/>
          <w:lang w:val="en-GB" w:eastAsia="en-US"/>
        </w:rPr>
      </w:pPr>
      <w:r w:rsidRPr="00B33082">
        <w:rPr>
          <w:sz w:val="22"/>
          <w:szCs w:val="22"/>
          <w:lang w:val="en-GB" w:eastAsia="en-US"/>
        </w:rPr>
        <w:t xml:space="preserve">It is </w:t>
      </w:r>
      <w:r>
        <w:rPr>
          <w:sz w:val="22"/>
          <w:szCs w:val="22"/>
          <w:lang w:val="en-GB" w:eastAsia="en-US"/>
        </w:rPr>
        <w:t>noted that LEO satellites usually create several tens of spot beams and GEO satellites can create a few hundred spot beams.</w:t>
      </w:r>
      <w:r w:rsidR="000E6F6A">
        <w:rPr>
          <w:sz w:val="22"/>
          <w:szCs w:val="22"/>
          <w:lang w:val="en-GB" w:eastAsia="en-US"/>
        </w:rPr>
        <w:t xml:space="preserve"> The LHS </w:t>
      </w:r>
      <w:r w:rsidR="00E25C17">
        <w:rPr>
          <w:sz w:val="22"/>
          <w:szCs w:val="22"/>
          <w:lang w:val="en-GB" w:eastAsia="en-US"/>
        </w:rPr>
        <w:t xml:space="preserve">of Figure 3 </w:t>
      </w:r>
      <w:r w:rsidR="000E6F6A">
        <w:rPr>
          <w:sz w:val="22"/>
          <w:szCs w:val="22"/>
          <w:lang w:val="en-GB" w:eastAsia="en-US"/>
        </w:rPr>
        <w:t>illustrates a satellite with multiple spot beams.</w:t>
      </w:r>
      <w:r>
        <w:rPr>
          <w:sz w:val="22"/>
          <w:szCs w:val="22"/>
          <w:lang w:val="en-GB" w:eastAsia="en-US"/>
        </w:rPr>
        <w:t xml:space="preserve"> Due to the high speed of LEO satellites, a UE can experience frequent switching of spot beams.</w:t>
      </w:r>
      <w:r w:rsidR="000E6F6A">
        <w:rPr>
          <w:sz w:val="22"/>
          <w:szCs w:val="22"/>
          <w:lang w:val="en-GB" w:eastAsia="en-US"/>
        </w:rPr>
        <w:t xml:space="preserve"> If each spot beam is mapped to a different PCI, a UE has to go through handover procedure every time the serving spot beam is switched. Handover process is costly as it involves RRC reconfiguration and random access </w:t>
      </w:r>
      <w:r w:rsidR="006C290E">
        <w:rPr>
          <w:sz w:val="22"/>
          <w:szCs w:val="22"/>
          <w:lang w:val="en-GB" w:eastAsia="en-US"/>
        </w:rPr>
        <w:t>procedure</w:t>
      </w:r>
      <w:r w:rsidR="000E6F6A">
        <w:rPr>
          <w:sz w:val="22"/>
          <w:szCs w:val="22"/>
          <w:lang w:val="en-GB" w:eastAsia="en-US"/>
        </w:rPr>
        <w:t xml:space="preserve">, although the </w:t>
      </w:r>
      <w:r w:rsidR="006C290E">
        <w:rPr>
          <w:sz w:val="22"/>
          <w:szCs w:val="22"/>
          <w:lang w:val="en-GB" w:eastAsia="en-US"/>
        </w:rPr>
        <w:t xml:space="preserve">latter </w:t>
      </w:r>
      <w:r w:rsidR="000E6F6A">
        <w:rPr>
          <w:sz w:val="22"/>
          <w:szCs w:val="22"/>
          <w:lang w:val="en-GB" w:eastAsia="en-US"/>
        </w:rPr>
        <w:t xml:space="preserve">can be skipped with RACH-less handover. As long as the serving and target spot beams belong to a same satellite, there is no motivation to perform RRC reconfiguration. </w:t>
      </w:r>
      <w:r w:rsidR="00373431">
        <w:rPr>
          <w:sz w:val="22"/>
          <w:szCs w:val="22"/>
          <w:lang w:val="en-GB" w:eastAsia="en-US"/>
        </w:rPr>
        <w:t xml:space="preserve">These have been the reason behind the agreement on the support of </w:t>
      </w:r>
      <w:r w:rsidR="006C290E">
        <w:rPr>
          <w:sz w:val="22"/>
          <w:szCs w:val="22"/>
          <w:lang w:val="en-GB" w:eastAsia="en-US"/>
        </w:rPr>
        <w:t>‘</w:t>
      </w:r>
      <w:r w:rsidR="00373431">
        <w:rPr>
          <w:sz w:val="22"/>
          <w:szCs w:val="22"/>
          <w:lang w:val="en-GB" w:eastAsia="en-US"/>
        </w:rPr>
        <w:t>multiple-beam per cell</w:t>
      </w:r>
      <w:r w:rsidR="006C290E">
        <w:rPr>
          <w:sz w:val="22"/>
          <w:szCs w:val="22"/>
          <w:lang w:val="en-GB" w:eastAsia="en-US"/>
        </w:rPr>
        <w:t>’</w:t>
      </w:r>
      <w:r w:rsidR="00373431">
        <w:rPr>
          <w:sz w:val="22"/>
          <w:szCs w:val="22"/>
          <w:lang w:val="en-GB" w:eastAsia="en-US"/>
        </w:rPr>
        <w:t xml:space="preserve"> in the previous meeting. </w:t>
      </w:r>
    </w:p>
    <w:p w14:paraId="2519EC53" w14:textId="30E96E61" w:rsidR="00373431" w:rsidRDefault="00373431" w:rsidP="00B33082">
      <w:pPr>
        <w:wordWrap/>
        <w:spacing w:after="240" w:line="276" w:lineRule="auto"/>
        <w:rPr>
          <w:sz w:val="22"/>
          <w:szCs w:val="22"/>
          <w:lang w:val="en-GB" w:eastAsia="en-US"/>
        </w:rPr>
      </w:pPr>
      <w:r>
        <w:rPr>
          <w:sz w:val="22"/>
          <w:szCs w:val="22"/>
          <w:lang w:val="en-GB" w:eastAsia="en-US"/>
        </w:rPr>
        <w:t xml:space="preserve">With the </w:t>
      </w:r>
      <w:r w:rsidR="006C290E">
        <w:rPr>
          <w:sz w:val="22"/>
          <w:szCs w:val="22"/>
          <w:lang w:val="en-GB" w:eastAsia="en-US"/>
        </w:rPr>
        <w:t>support</w:t>
      </w:r>
      <w:r>
        <w:rPr>
          <w:sz w:val="22"/>
          <w:szCs w:val="22"/>
          <w:lang w:val="en-GB" w:eastAsia="en-US"/>
        </w:rPr>
        <w:t xml:space="preserve"> of</w:t>
      </w:r>
      <w:r w:rsidR="000E6F6A">
        <w:rPr>
          <w:sz w:val="22"/>
          <w:szCs w:val="22"/>
          <w:lang w:val="en-GB" w:eastAsia="en-US"/>
        </w:rPr>
        <w:t xml:space="preserve"> </w:t>
      </w:r>
      <w:r>
        <w:rPr>
          <w:sz w:val="22"/>
          <w:szCs w:val="22"/>
          <w:lang w:val="en-GB" w:eastAsia="en-US"/>
        </w:rPr>
        <w:t>multiple-beam per cell, multiple spot beams can be grouped together to share the same PCI and the spot beam switching is performed through BWP switching for a given UE. Thus, each BWP is configured such that the UE can transmit to and receive from the corresponding spot beam.</w:t>
      </w:r>
      <w:r w:rsidR="00E25C17">
        <w:rPr>
          <w:sz w:val="22"/>
          <w:szCs w:val="22"/>
          <w:lang w:val="en-GB" w:eastAsia="en-US"/>
        </w:rPr>
        <w:t xml:space="preserve"> In this way, the overhead of going through </w:t>
      </w:r>
      <w:r w:rsidR="006C290E">
        <w:rPr>
          <w:sz w:val="22"/>
          <w:szCs w:val="22"/>
          <w:lang w:val="en-GB" w:eastAsia="en-US"/>
        </w:rPr>
        <w:t xml:space="preserve">the </w:t>
      </w:r>
      <w:r w:rsidR="00E25C17">
        <w:rPr>
          <w:sz w:val="22"/>
          <w:szCs w:val="22"/>
          <w:lang w:val="en-GB" w:eastAsia="en-US"/>
        </w:rPr>
        <w:t xml:space="preserve">handover </w:t>
      </w:r>
      <w:r w:rsidR="006C290E">
        <w:rPr>
          <w:sz w:val="22"/>
          <w:szCs w:val="22"/>
          <w:lang w:val="en-GB" w:eastAsia="en-US"/>
        </w:rPr>
        <w:t xml:space="preserve">procedures </w:t>
      </w:r>
      <w:r w:rsidR="00E25C17">
        <w:rPr>
          <w:sz w:val="22"/>
          <w:szCs w:val="22"/>
          <w:lang w:val="en-GB" w:eastAsia="en-US"/>
        </w:rPr>
        <w:t>can be avoided</w:t>
      </w:r>
      <w:r w:rsidR="00F079D7">
        <w:rPr>
          <w:sz w:val="22"/>
          <w:szCs w:val="22"/>
          <w:lang w:val="en-GB" w:eastAsia="en-US"/>
        </w:rPr>
        <w:t xml:space="preserve"> to a certain degree</w:t>
      </w:r>
      <w:r w:rsidR="00E25C17">
        <w:rPr>
          <w:sz w:val="22"/>
          <w:szCs w:val="22"/>
          <w:lang w:val="en-GB" w:eastAsia="en-US"/>
        </w:rPr>
        <w:t>. On the other hand, as described in the RHS of Figure 3, the experienced Doppler shifts at different spot beams are different as the Doppler shift is</w:t>
      </w:r>
      <w:r w:rsidR="00F079D7">
        <w:rPr>
          <w:sz w:val="22"/>
          <w:szCs w:val="22"/>
          <w:lang w:val="en-GB" w:eastAsia="en-US"/>
        </w:rPr>
        <w:t xml:space="preserve"> a function of </w:t>
      </w:r>
      <w:r w:rsidR="00E25C17">
        <w:rPr>
          <w:sz w:val="22"/>
          <w:szCs w:val="22"/>
          <w:lang w:val="en-GB" w:eastAsia="en-US"/>
        </w:rPr>
        <w:t>the relative speed between the transmitter and the receiver. Thus, the network would appl</w:t>
      </w:r>
      <w:r w:rsidR="00F079D7">
        <w:rPr>
          <w:sz w:val="22"/>
          <w:szCs w:val="22"/>
          <w:lang w:val="en-GB" w:eastAsia="en-US"/>
        </w:rPr>
        <w:t>y</w:t>
      </w:r>
      <w:r w:rsidR="00E25C17">
        <w:rPr>
          <w:sz w:val="22"/>
          <w:szCs w:val="22"/>
          <w:lang w:val="en-GB" w:eastAsia="en-US"/>
        </w:rPr>
        <w:t xml:space="preserve"> different Doppler pre-compensation values to different spot beams as illustrated in the figure. </w:t>
      </w:r>
      <w:r w:rsidR="00F079D7">
        <w:rPr>
          <w:sz w:val="22"/>
          <w:szCs w:val="22"/>
          <w:lang w:val="en-GB" w:eastAsia="en-US"/>
        </w:rPr>
        <w:t>I</w:t>
      </w:r>
      <w:r w:rsidR="00E25C17">
        <w:rPr>
          <w:sz w:val="22"/>
          <w:szCs w:val="22"/>
          <w:lang w:val="en-GB" w:eastAsia="en-US"/>
        </w:rPr>
        <w:t>n order for the UE to correctly receive data after BWP switch, i.e., spot beam switch, the UE should know the amount of Doppler pre-compensation applied at the new serving spot beam so that the UE can correctly adjust its PRB grid by the amount of</w:t>
      </w:r>
      <w:r w:rsidR="00F079D7">
        <w:rPr>
          <w:sz w:val="22"/>
          <w:szCs w:val="22"/>
          <w:lang w:val="en-GB" w:eastAsia="en-US"/>
        </w:rPr>
        <w:t xml:space="preserve"> applied</w:t>
      </w:r>
      <w:r w:rsidR="00E25C17">
        <w:rPr>
          <w:sz w:val="22"/>
          <w:szCs w:val="22"/>
          <w:lang w:val="en-GB" w:eastAsia="en-US"/>
        </w:rPr>
        <w:t xml:space="preserve"> Doppler pre-compensation. The </w:t>
      </w:r>
      <w:r w:rsidR="006C290E">
        <w:rPr>
          <w:sz w:val="22"/>
          <w:szCs w:val="22"/>
          <w:lang w:val="en-GB" w:eastAsia="en-US"/>
        </w:rPr>
        <w:t>different amount of Doppler pre-compensation can be indicated in each BWP configuration with respect to the default BWP. Note that the current BWP configuration is in the unit of PRB, which is too coarse to accommodate the amount of Doppler shift as calculated in Section 4.</w:t>
      </w:r>
      <w:r w:rsidR="00E25C17">
        <w:rPr>
          <w:sz w:val="22"/>
          <w:szCs w:val="22"/>
          <w:lang w:val="en-GB" w:eastAsia="en-US"/>
        </w:rPr>
        <w:t xml:space="preserve">  </w:t>
      </w:r>
      <w:r>
        <w:rPr>
          <w:sz w:val="22"/>
          <w:szCs w:val="22"/>
          <w:lang w:val="en-GB" w:eastAsia="en-US"/>
        </w:rPr>
        <w:t xml:space="preserve"> </w:t>
      </w:r>
    </w:p>
    <w:p w14:paraId="3965C2D8" w14:textId="4E39011D" w:rsidR="006C290E" w:rsidRPr="000947B9" w:rsidRDefault="008B627C" w:rsidP="00B33082">
      <w:pPr>
        <w:pStyle w:val="ac"/>
        <w:wordWrap/>
        <w:ind w:left="1133" w:hangingChars="515" w:hanging="1133"/>
        <w:rPr>
          <w:sz w:val="22"/>
          <w:szCs w:val="22"/>
        </w:rPr>
      </w:pPr>
      <w:bookmarkStart w:id="16" w:name="_Ref54363472"/>
      <w:r w:rsidRPr="000947B9">
        <w:rPr>
          <w:sz w:val="22"/>
          <w:szCs w:val="22"/>
        </w:rPr>
        <w:t xml:space="preserve">Proposal </w:t>
      </w:r>
      <w:r w:rsidRPr="000947B9">
        <w:rPr>
          <w:sz w:val="22"/>
          <w:szCs w:val="22"/>
        </w:rPr>
        <w:fldChar w:fldCharType="begin"/>
      </w:r>
      <w:r w:rsidRPr="000947B9">
        <w:rPr>
          <w:sz w:val="22"/>
          <w:szCs w:val="22"/>
        </w:rPr>
        <w:instrText xml:space="preserve"> SEQ Proposal \* ARABIC </w:instrText>
      </w:r>
      <w:r w:rsidRPr="000947B9">
        <w:rPr>
          <w:sz w:val="22"/>
          <w:szCs w:val="22"/>
        </w:rPr>
        <w:fldChar w:fldCharType="separate"/>
      </w:r>
      <w:r w:rsidR="003F2402">
        <w:rPr>
          <w:noProof/>
          <w:sz w:val="22"/>
          <w:szCs w:val="22"/>
        </w:rPr>
        <w:t>6</w:t>
      </w:r>
      <w:r w:rsidRPr="000947B9">
        <w:rPr>
          <w:sz w:val="22"/>
          <w:szCs w:val="22"/>
        </w:rPr>
        <w:fldChar w:fldCharType="end"/>
      </w:r>
      <w:r w:rsidR="006C290E" w:rsidRPr="000947B9">
        <w:rPr>
          <w:rFonts w:eastAsia="맑은 고딕"/>
          <w:color w:val="000000"/>
          <w:sz w:val="22"/>
          <w:szCs w:val="22"/>
        </w:rPr>
        <w:t xml:space="preserve">: </w:t>
      </w:r>
      <w:r w:rsidR="006C290E">
        <w:rPr>
          <w:rFonts w:eastAsia="맑은 고딕"/>
          <w:color w:val="000000"/>
          <w:sz w:val="22"/>
          <w:szCs w:val="22"/>
        </w:rPr>
        <w:t xml:space="preserve">The BWP configuration is extended to indicate the amount of frequency offset to </w:t>
      </w:r>
      <w:r w:rsidR="00F079D7">
        <w:rPr>
          <w:rFonts w:eastAsia="맑은 고딕"/>
          <w:color w:val="000000"/>
          <w:sz w:val="22"/>
          <w:szCs w:val="22"/>
        </w:rPr>
        <w:t>adjust</w:t>
      </w:r>
      <w:r w:rsidR="006C290E">
        <w:rPr>
          <w:rFonts w:eastAsia="맑은 고딕"/>
          <w:color w:val="000000"/>
          <w:sz w:val="22"/>
          <w:szCs w:val="22"/>
        </w:rPr>
        <w:t xml:space="preserve"> the PRB grid with respect to the default BWP.</w:t>
      </w:r>
      <w:bookmarkEnd w:id="16"/>
      <w:r w:rsidR="006C290E">
        <w:rPr>
          <w:rFonts w:eastAsia="맑은 고딕"/>
          <w:color w:val="000000"/>
          <w:sz w:val="22"/>
          <w:szCs w:val="22"/>
        </w:rPr>
        <w:t xml:space="preserve"> </w:t>
      </w:r>
    </w:p>
    <w:p w14:paraId="07A64A01" w14:textId="77777777" w:rsidR="009F40D1" w:rsidRDefault="009F40D1" w:rsidP="00B33082">
      <w:pPr>
        <w:widowControl/>
        <w:wordWrap/>
        <w:autoSpaceDE/>
        <w:autoSpaceDN/>
        <w:rPr>
          <w:lang w:eastAsia="x-none"/>
        </w:rPr>
      </w:pPr>
    </w:p>
    <w:p w14:paraId="1CD91BC3" w14:textId="77777777" w:rsidR="000E6F6A" w:rsidRPr="00B33082" w:rsidRDefault="000E6F6A" w:rsidP="0066323D">
      <w:pPr>
        <w:spacing w:after="240" w:line="276" w:lineRule="auto"/>
        <w:rPr>
          <w:b/>
          <w:sz w:val="22"/>
          <w:szCs w:val="22"/>
          <w:lang w:eastAsia="en-US"/>
        </w:rPr>
      </w:pPr>
    </w:p>
    <w:p w14:paraId="479E2FB9"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7E444C34" w14:textId="2856DDAD" w:rsidR="008B627C"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4552E9">
        <w:rPr>
          <w:rFonts w:eastAsia="맑은 고딕"/>
          <w:color w:val="000000"/>
          <w:sz w:val="22"/>
          <w:szCs w:val="22"/>
        </w:rPr>
        <w:t>other issues for NTN</w:t>
      </w:r>
      <w:r w:rsidRPr="001D75BE">
        <w:rPr>
          <w:rFonts w:eastAsia="맑은 고딕"/>
          <w:color w:val="000000"/>
          <w:sz w:val="22"/>
          <w:szCs w:val="22"/>
        </w:rPr>
        <w:t xml:space="preserve">. </w:t>
      </w:r>
      <w:r w:rsidR="008B627C">
        <w:rPr>
          <w:rFonts w:eastAsia="맑은 고딕"/>
          <w:color w:val="000000"/>
          <w:sz w:val="22"/>
          <w:szCs w:val="22"/>
        </w:rPr>
        <w:t>We had the observations as</w:t>
      </w:r>
    </w:p>
    <w:p w14:paraId="2783019A" w14:textId="3BE8E8EA"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lastRenderedPageBreak/>
        <w:fldChar w:fldCharType="begin"/>
      </w:r>
      <w:r w:rsidRPr="009A4008">
        <w:rPr>
          <w:rFonts w:eastAsia="맑은 고딕"/>
          <w:b/>
          <w:i/>
          <w:color w:val="000000"/>
          <w:sz w:val="22"/>
          <w:szCs w:val="22"/>
        </w:rPr>
        <w:instrText xml:space="preserve"> REF _Ref53564431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1</w:t>
      </w:r>
      <w:r w:rsidR="003F2402" w:rsidRPr="009A4008">
        <w:rPr>
          <w:rFonts w:eastAsia="맑은 고딕"/>
          <w:b/>
          <w:i/>
          <w:color w:val="000000"/>
          <w:sz w:val="22"/>
          <w:szCs w:val="22"/>
        </w:rPr>
        <w:t>: For a spot beam size that exceeds 250 km, a BS may need to perform a multi-valued Doppler pre-compensation; e.g. it may need to group distinct sets of SSBs using distinct Doppler values for pre-compensation.</w:t>
      </w:r>
      <w:r w:rsidRPr="009A4008">
        <w:rPr>
          <w:rFonts w:eastAsia="맑은 고딕"/>
          <w:b/>
          <w:i/>
          <w:color w:val="000000"/>
          <w:sz w:val="22"/>
          <w:szCs w:val="22"/>
        </w:rPr>
        <w:fldChar w:fldCharType="end"/>
      </w:r>
    </w:p>
    <w:p w14:paraId="054D46ED" w14:textId="114CCEAC"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_Ref53564435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2</w:t>
      </w:r>
      <w:r w:rsidR="003F2402" w:rsidRPr="009A4008">
        <w:rPr>
          <w:rFonts w:eastAsia="맑은 고딕"/>
          <w:b/>
          <w:i/>
          <w:color w:val="000000"/>
          <w:sz w:val="22"/>
          <w:szCs w:val="22"/>
        </w:rPr>
        <w:t>: Indication for multi-Doppler pre-compensation pattern benefits idle UE cell reselection.</w:t>
      </w:r>
      <w:r w:rsidRPr="009A4008">
        <w:rPr>
          <w:rFonts w:eastAsia="맑은 고딕"/>
          <w:b/>
          <w:i/>
          <w:color w:val="000000"/>
          <w:sz w:val="22"/>
          <w:szCs w:val="22"/>
        </w:rPr>
        <w:fldChar w:fldCharType="end"/>
      </w:r>
    </w:p>
    <w:p w14:paraId="363E5A65" w14:textId="6D05352F"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_Ref53564439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3</w:t>
      </w:r>
      <w:r w:rsidR="003F2402" w:rsidRPr="009A4008">
        <w:rPr>
          <w:rFonts w:eastAsia="맑은 고딕"/>
          <w:b/>
          <w:i/>
          <w:color w:val="000000"/>
          <w:sz w:val="22"/>
          <w:szCs w:val="22"/>
        </w:rPr>
        <w:t>: Indication for multi-Doppler pre-compensation pattern benefits connected UE handover.</w:t>
      </w:r>
      <w:r w:rsidRPr="009A4008">
        <w:rPr>
          <w:rFonts w:eastAsia="맑은 고딕"/>
          <w:b/>
          <w:i/>
          <w:color w:val="000000"/>
          <w:sz w:val="22"/>
          <w:szCs w:val="22"/>
        </w:rPr>
        <w:fldChar w:fldCharType="end"/>
      </w:r>
    </w:p>
    <w:p w14:paraId="583A777D" w14:textId="00E5D363"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_Ref53564441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4</w:t>
      </w:r>
      <w:r w:rsidR="003F2402" w:rsidRPr="009A4008">
        <w:rPr>
          <w:rFonts w:eastAsia="맑은 고딕"/>
          <w:b/>
          <w:i/>
          <w:color w:val="000000"/>
          <w:sz w:val="22"/>
          <w:szCs w:val="22"/>
        </w:rPr>
        <w:t>: Indication for multi-Doppler pre-compensation pattern benefits connected UE data channel reception.</w:t>
      </w:r>
      <w:r w:rsidRPr="009A4008">
        <w:rPr>
          <w:rFonts w:eastAsia="맑은 고딕"/>
          <w:b/>
          <w:i/>
          <w:color w:val="000000"/>
          <w:sz w:val="22"/>
          <w:szCs w:val="22"/>
        </w:rPr>
        <w:fldChar w:fldCharType="end"/>
      </w:r>
    </w:p>
    <w:p w14:paraId="2090296F" w14:textId="40371621"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_Ref54363512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5</w:t>
      </w:r>
      <w:r w:rsidR="003F2402" w:rsidRPr="009A4008">
        <w:rPr>
          <w:b/>
          <w:i/>
          <w:sz w:val="22"/>
          <w:szCs w:val="22"/>
        </w:rPr>
        <w:t>: A GNSS-aware UE can determine the time and frequency pre-compensation that it should apply when transmitting a PRACH preamble. This can result in improved preamble detection performance for all GNSS-aware UEs.</w:t>
      </w:r>
      <w:r w:rsidRPr="009A4008">
        <w:rPr>
          <w:rFonts w:eastAsia="맑은 고딕"/>
          <w:b/>
          <w:i/>
          <w:color w:val="000000"/>
          <w:sz w:val="22"/>
          <w:szCs w:val="22"/>
        </w:rPr>
        <w:fldChar w:fldCharType="end"/>
      </w:r>
    </w:p>
    <w:p w14:paraId="4FCE15A2" w14:textId="676B0F79"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_Ref54363513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6</w:t>
      </w:r>
      <w:r w:rsidR="003F2402" w:rsidRPr="009A4008">
        <w:rPr>
          <w:b/>
          <w:i/>
          <w:sz w:val="22"/>
          <w:szCs w:val="22"/>
        </w:rPr>
        <w:t>: The PRACH guard time for GNSS-aware UEs can be smaller than the PRACH guard time for GNSS-challenged UEs.</w:t>
      </w:r>
      <w:r w:rsidRPr="009A4008">
        <w:rPr>
          <w:rFonts w:eastAsia="맑은 고딕"/>
          <w:b/>
          <w:i/>
          <w:color w:val="000000"/>
          <w:sz w:val="22"/>
          <w:szCs w:val="22"/>
        </w:rPr>
        <w:fldChar w:fldCharType="end"/>
      </w:r>
    </w:p>
    <w:p w14:paraId="59CD67B0" w14:textId="0B2B82E7"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_Ref54363515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7</w:t>
      </w:r>
      <w:r w:rsidR="003F2402" w:rsidRPr="009A4008">
        <w:rPr>
          <w:b/>
          <w:i/>
          <w:sz w:val="22"/>
          <w:szCs w:val="22"/>
        </w:rPr>
        <w:t>: If PRACH preamble transmissions from GNSS-aware UEs do not interfere with PRACH preamble transmissions from GNSS-challenged UEs, preamble detection performance for all GNSS-challenged UEs improves.</w:t>
      </w:r>
      <w:r w:rsidRPr="009A4008">
        <w:rPr>
          <w:rFonts w:eastAsia="맑은 고딕"/>
          <w:b/>
          <w:i/>
          <w:color w:val="000000"/>
          <w:sz w:val="22"/>
          <w:szCs w:val="22"/>
        </w:rPr>
        <w:fldChar w:fldCharType="end"/>
      </w:r>
    </w:p>
    <w:p w14:paraId="3AAB5A90" w14:textId="77777777" w:rsidR="008B627C" w:rsidRDefault="008B627C" w:rsidP="008B627C">
      <w:pPr>
        <w:wordWrap/>
        <w:spacing w:before="60" w:after="60" w:line="288" w:lineRule="auto"/>
        <w:jc w:val="both"/>
        <w:rPr>
          <w:rFonts w:eastAsia="맑은 고딕"/>
          <w:color w:val="000000"/>
          <w:sz w:val="22"/>
          <w:szCs w:val="22"/>
        </w:rPr>
      </w:pPr>
    </w:p>
    <w:p w14:paraId="1A999BC9" w14:textId="42A92839" w:rsidR="005E37A1" w:rsidRDefault="005E37A1" w:rsidP="003F2402">
      <w:pPr>
        <w:wordWrap/>
        <w:spacing w:before="60" w:after="60" w:line="288" w:lineRule="auto"/>
        <w:jc w:val="both"/>
        <w:rPr>
          <w:rFonts w:eastAsia="맑은 고딕"/>
          <w:color w:val="000000"/>
          <w:sz w:val="22"/>
          <w:szCs w:val="22"/>
        </w:rPr>
      </w:pPr>
      <w:r w:rsidRPr="001D75BE">
        <w:rPr>
          <w:rFonts w:eastAsia="맑은 고딕"/>
          <w:color w:val="000000"/>
          <w:sz w:val="22"/>
          <w:szCs w:val="22"/>
        </w:rPr>
        <w:t>Our proposals are summarized below.</w:t>
      </w:r>
    </w:p>
    <w:p w14:paraId="6E78FC47" w14:textId="55AB1618" w:rsidR="008D0C91" w:rsidRPr="00B607C2" w:rsidRDefault="008D0C91" w:rsidP="008D0C91">
      <w:pPr>
        <w:wordWrap/>
        <w:spacing w:before="60" w:after="60" w:line="288" w:lineRule="auto"/>
        <w:jc w:val="both"/>
        <w:rPr>
          <w:rFonts w:eastAsia="맑은 고딕"/>
          <w:b/>
          <w:sz w:val="22"/>
          <w:szCs w:val="22"/>
        </w:rPr>
      </w:pPr>
      <w:r w:rsidRPr="00B607C2">
        <w:rPr>
          <w:rFonts w:eastAsia="맑은 고딕"/>
          <w:b/>
          <w:sz w:val="22"/>
          <w:szCs w:val="22"/>
        </w:rPr>
        <w:fldChar w:fldCharType="begin"/>
      </w:r>
      <w:r w:rsidRPr="00B607C2">
        <w:rPr>
          <w:rFonts w:eastAsia="맑은 고딕"/>
          <w:b/>
          <w:sz w:val="22"/>
          <w:szCs w:val="22"/>
        </w:rPr>
        <w:instrText xml:space="preserve"> REF _Ref71295484 \h  \* MERGEFORMAT </w:instrText>
      </w:r>
      <w:r w:rsidRPr="00B607C2">
        <w:rPr>
          <w:rFonts w:eastAsia="맑은 고딕"/>
          <w:b/>
          <w:sz w:val="22"/>
          <w:szCs w:val="22"/>
        </w:rPr>
      </w:r>
      <w:r w:rsidRPr="00B607C2">
        <w:rPr>
          <w:rFonts w:eastAsia="맑은 고딕"/>
          <w:b/>
          <w:sz w:val="22"/>
          <w:szCs w:val="22"/>
        </w:rPr>
        <w:fldChar w:fldCharType="separate"/>
      </w:r>
      <w:r w:rsidR="003F2402" w:rsidRPr="003F2402">
        <w:rPr>
          <w:rFonts w:eastAsia="맑은 고딕"/>
          <w:b/>
          <w:sz w:val="22"/>
          <w:szCs w:val="22"/>
        </w:rPr>
        <w:t>Proposal 1: Enhancement for BWP switching needs to be deprioritized.</w:t>
      </w:r>
      <w:r w:rsidRPr="00B607C2">
        <w:rPr>
          <w:rFonts w:eastAsia="맑은 고딕"/>
          <w:b/>
          <w:sz w:val="22"/>
          <w:szCs w:val="22"/>
        </w:rPr>
        <w:fldChar w:fldCharType="end"/>
      </w:r>
    </w:p>
    <w:p w14:paraId="2D050611" w14:textId="5DBBD3D8"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_Ref53564456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B7449">
        <w:rPr>
          <w:b/>
          <w:sz w:val="22"/>
          <w:szCs w:val="22"/>
        </w:rPr>
        <w:t xml:space="preserve">Proposal </w:t>
      </w:r>
      <w:r w:rsidR="003F2402">
        <w:rPr>
          <w:b/>
          <w:noProof/>
          <w:sz w:val="22"/>
          <w:szCs w:val="22"/>
        </w:rPr>
        <w:t>2</w:t>
      </w:r>
      <w:r w:rsidR="003F2402" w:rsidRPr="003B7449">
        <w:rPr>
          <w:b/>
          <w:noProof/>
          <w:sz w:val="22"/>
          <w:szCs w:val="22"/>
        </w:rPr>
        <w:t>.</w:t>
      </w:r>
      <w:r w:rsidR="003F2402" w:rsidRPr="003B7449">
        <w:rPr>
          <w:b/>
          <w:sz w:val="22"/>
          <w:szCs w:val="22"/>
        </w:rPr>
        <w:t xml:space="preserve"> </w:t>
      </w:r>
      <w:r w:rsidR="003F2402" w:rsidRPr="003B7449">
        <w:rPr>
          <w:b/>
          <w:sz w:val="22"/>
          <w:szCs w:val="22"/>
          <w:lang w:val="en-GB" w:eastAsia="en-US"/>
        </w:rPr>
        <w:t>In open loop power control, UE should be allowed to predict its own transmission power not only based on DL measurement, e.g., pathloss measurement but also other available information, such as gNB ephemeris and UE trajectory.</w:t>
      </w:r>
      <w:r w:rsidRPr="008B627C">
        <w:rPr>
          <w:rFonts w:eastAsia="맑은 고딕"/>
          <w:b/>
          <w:color w:val="FF0000"/>
          <w:sz w:val="22"/>
          <w:szCs w:val="22"/>
          <w:lang w:val="en-GB"/>
        </w:rPr>
        <w:fldChar w:fldCharType="end"/>
      </w:r>
    </w:p>
    <w:p w14:paraId="61DC4845" w14:textId="3B2EDAA2"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_Ref53564458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B7449">
        <w:rPr>
          <w:b/>
          <w:sz w:val="22"/>
          <w:szCs w:val="22"/>
        </w:rPr>
        <w:t xml:space="preserve">Proposal </w:t>
      </w:r>
      <w:r w:rsidR="003F2402">
        <w:rPr>
          <w:b/>
          <w:noProof/>
          <w:sz w:val="22"/>
          <w:szCs w:val="22"/>
        </w:rPr>
        <w:t>3</w:t>
      </w:r>
      <w:r w:rsidR="003F2402">
        <w:rPr>
          <w:b/>
          <w:sz w:val="22"/>
          <w:szCs w:val="22"/>
        </w:rPr>
        <w:t>:</w:t>
      </w:r>
      <w:r w:rsidR="003F2402" w:rsidRPr="003B7449">
        <w:rPr>
          <w:b/>
          <w:sz w:val="22"/>
          <w:szCs w:val="22"/>
        </w:rPr>
        <w:t xml:space="preserve"> </w:t>
      </w:r>
      <w:r w:rsidR="003F2402" w:rsidRPr="003B7449">
        <w:rPr>
          <w:b/>
          <w:sz w:val="22"/>
          <w:szCs w:val="22"/>
          <w:lang w:val="en-GB" w:eastAsia="en-US"/>
        </w:rPr>
        <w:t>Closed loop power control should be supported in NTN and a mechanism to disable closed loop power control should be considered.</w:t>
      </w:r>
      <w:r w:rsidRPr="008B627C">
        <w:rPr>
          <w:rFonts w:eastAsia="맑은 고딕"/>
          <w:b/>
          <w:color w:val="FF0000"/>
          <w:sz w:val="22"/>
          <w:szCs w:val="22"/>
          <w:lang w:val="en-GB"/>
        </w:rPr>
        <w:fldChar w:fldCharType="end"/>
      </w:r>
    </w:p>
    <w:p w14:paraId="2BE6D836" w14:textId="757DD8CA"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_Ref53564460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B7449">
        <w:rPr>
          <w:b/>
          <w:sz w:val="22"/>
          <w:szCs w:val="22"/>
        </w:rPr>
        <w:t xml:space="preserve">Proposal </w:t>
      </w:r>
      <w:r w:rsidR="003F2402">
        <w:rPr>
          <w:b/>
          <w:noProof/>
          <w:sz w:val="22"/>
          <w:szCs w:val="22"/>
        </w:rPr>
        <w:t>4</w:t>
      </w:r>
      <w:r w:rsidR="003F2402" w:rsidRPr="003B7449">
        <w:rPr>
          <w:b/>
          <w:sz w:val="22"/>
          <w:szCs w:val="22"/>
        </w:rPr>
        <w:t xml:space="preserve">: </w:t>
      </w:r>
      <w:r w:rsidR="003F2402" w:rsidRPr="002934E4">
        <w:rPr>
          <w:rFonts w:eastAsia="맑은 고딕"/>
          <w:b/>
          <w:color w:val="000000"/>
          <w:sz w:val="22"/>
          <w:szCs w:val="22"/>
        </w:rPr>
        <w:t xml:space="preserve">A </w:t>
      </w:r>
      <w:r w:rsidR="003F2402">
        <w:rPr>
          <w:rFonts w:eastAsia="맑은 고딕"/>
          <w:b/>
          <w:color w:val="000000"/>
          <w:sz w:val="22"/>
          <w:szCs w:val="22"/>
        </w:rPr>
        <w:t>gNB</w:t>
      </w:r>
      <w:r w:rsidR="003F2402" w:rsidRPr="003B7449">
        <w:rPr>
          <w:rFonts w:eastAsia="맑은 고딕"/>
          <w:b/>
          <w:color w:val="000000"/>
          <w:sz w:val="22"/>
          <w:szCs w:val="22"/>
        </w:rPr>
        <w:t>/satellite applies different values of Doppler pre-compensation to different SSBs</w:t>
      </w:r>
      <w:r w:rsidR="003F2402">
        <w:rPr>
          <w:rFonts w:eastAsia="맑은 고딕"/>
          <w:b/>
          <w:color w:val="000000"/>
          <w:sz w:val="22"/>
          <w:szCs w:val="22"/>
        </w:rPr>
        <w:t>.</w:t>
      </w:r>
      <w:r w:rsidRPr="008B627C">
        <w:rPr>
          <w:rFonts w:eastAsia="맑은 고딕"/>
          <w:b/>
          <w:color w:val="FF0000"/>
          <w:sz w:val="22"/>
          <w:szCs w:val="22"/>
          <w:lang w:val="en-GB"/>
        </w:rPr>
        <w:fldChar w:fldCharType="end"/>
      </w:r>
    </w:p>
    <w:p w14:paraId="729E4FCD" w14:textId="1676A878"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_Ref54363424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F2402">
        <w:rPr>
          <w:b/>
          <w:sz w:val="22"/>
          <w:szCs w:val="22"/>
        </w:rPr>
        <w:t xml:space="preserve">Proposal </w:t>
      </w:r>
      <w:r w:rsidR="003F2402" w:rsidRPr="003F2402">
        <w:rPr>
          <w:b/>
          <w:noProof/>
          <w:sz w:val="22"/>
          <w:szCs w:val="22"/>
        </w:rPr>
        <w:t>5</w:t>
      </w:r>
      <w:r w:rsidR="003F2402" w:rsidRPr="003F2402">
        <w:rPr>
          <w:rFonts w:eastAsia="맑은 고딕"/>
          <w:b/>
          <w:color w:val="000000"/>
          <w:sz w:val="22"/>
          <w:szCs w:val="22"/>
        </w:rPr>
        <w:t>: A gNB can assign separate PRACH resources to GNSS-aware UEs and GNSS-challenged UEs.</w:t>
      </w:r>
      <w:r w:rsidRPr="008B627C">
        <w:rPr>
          <w:rFonts w:eastAsia="맑은 고딕"/>
          <w:b/>
          <w:color w:val="FF0000"/>
          <w:sz w:val="22"/>
          <w:szCs w:val="22"/>
          <w:lang w:val="en-GB"/>
        </w:rPr>
        <w:fldChar w:fldCharType="end"/>
      </w:r>
    </w:p>
    <w:p w14:paraId="48D23B70" w14:textId="68122E74"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_Ref54363472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F2402">
        <w:rPr>
          <w:b/>
          <w:sz w:val="22"/>
          <w:szCs w:val="22"/>
        </w:rPr>
        <w:t xml:space="preserve">Proposal </w:t>
      </w:r>
      <w:r w:rsidR="003F2402" w:rsidRPr="003F2402">
        <w:rPr>
          <w:b/>
          <w:noProof/>
          <w:sz w:val="22"/>
          <w:szCs w:val="22"/>
        </w:rPr>
        <w:t>6</w:t>
      </w:r>
      <w:r w:rsidR="003F2402" w:rsidRPr="003F2402">
        <w:rPr>
          <w:rFonts w:eastAsia="맑은 고딕"/>
          <w:b/>
          <w:color w:val="000000"/>
          <w:sz w:val="22"/>
          <w:szCs w:val="22"/>
        </w:rPr>
        <w:t>: The BWP configuration is extended to indicate the amount of frequency offset to adjust the PRB grid with respect to the default BWP.</w:t>
      </w:r>
      <w:r w:rsidRPr="008B627C">
        <w:rPr>
          <w:rFonts w:eastAsia="맑은 고딕"/>
          <w:b/>
          <w:color w:val="FF0000"/>
          <w:sz w:val="22"/>
          <w:szCs w:val="22"/>
          <w:lang w:val="en-GB"/>
        </w:rPr>
        <w:fldChar w:fldCharType="end"/>
      </w:r>
    </w:p>
    <w:p w14:paraId="2171C760" w14:textId="1387918D" w:rsidR="00CD737C" w:rsidRPr="000947B9" w:rsidRDefault="00CD737C" w:rsidP="00F75D72">
      <w:pPr>
        <w:wordWrap/>
        <w:spacing w:before="60" w:after="60" w:line="288" w:lineRule="auto"/>
        <w:jc w:val="both"/>
        <w:rPr>
          <w:rFonts w:eastAsia="맑은 고딕"/>
          <w:color w:val="FF0000"/>
          <w:sz w:val="22"/>
          <w:szCs w:val="22"/>
          <w:lang w:val="en-GB"/>
        </w:rPr>
      </w:pPr>
    </w:p>
    <w:p w14:paraId="7CF9AFEE"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11DF2A43" w14:textId="471F0936" w:rsidR="002A1A45" w:rsidRDefault="001163FB" w:rsidP="00993B62">
      <w:pPr>
        <w:pStyle w:val="2222"/>
        <w:numPr>
          <w:ilvl w:val="0"/>
          <w:numId w:val="13"/>
        </w:numPr>
        <w:spacing w:after="120" w:line="288" w:lineRule="auto"/>
        <w:ind w:left="426" w:firstLineChars="0" w:hanging="426"/>
        <w:rPr>
          <w:rFonts w:eastAsia="MS Mincho"/>
          <w:bCs/>
          <w:sz w:val="22"/>
          <w:szCs w:val="22"/>
          <w:lang w:eastAsia="ja-JP"/>
        </w:rPr>
      </w:pPr>
      <w:r w:rsidRPr="005D1AFB">
        <w:rPr>
          <w:rFonts w:eastAsia="MS Mincho"/>
          <w:bCs/>
          <w:sz w:val="22"/>
          <w:szCs w:val="22"/>
          <w:lang w:eastAsia="ja-JP"/>
        </w:rPr>
        <w:t>RP‑20</w:t>
      </w:r>
      <w:r w:rsidR="00C62619">
        <w:rPr>
          <w:rFonts w:eastAsia="MS Mincho"/>
          <w:bCs/>
          <w:sz w:val="22"/>
          <w:szCs w:val="22"/>
          <w:lang w:eastAsia="ja-JP"/>
        </w:rPr>
        <w:t>2908</w:t>
      </w:r>
      <w:r>
        <w:rPr>
          <w:rFonts w:eastAsia="MS Mincho"/>
          <w:bCs/>
          <w:sz w:val="22"/>
          <w:szCs w:val="22"/>
          <w:lang w:eastAsia="ja-JP"/>
        </w:rPr>
        <w:t>, “</w:t>
      </w:r>
      <w:r w:rsidRPr="005D1AFB">
        <w:rPr>
          <w:rFonts w:eastAsia="MS Mincho"/>
          <w:bCs/>
          <w:sz w:val="22"/>
          <w:szCs w:val="22"/>
          <w:lang w:eastAsia="ja-JP"/>
        </w:rPr>
        <w:t>Revised WID: Solutions for NR to support non-terrestrial networks (NTN)</w:t>
      </w:r>
      <w:r>
        <w:rPr>
          <w:rFonts w:eastAsia="MS Mincho"/>
          <w:bCs/>
          <w:sz w:val="22"/>
          <w:szCs w:val="22"/>
          <w:lang w:eastAsia="ja-JP"/>
        </w:rPr>
        <w:t>.”</w:t>
      </w:r>
    </w:p>
    <w:p w14:paraId="6E50EF45" w14:textId="247A44F8" w:rsidR="00417C8D" w:rsidRPr="001D75BE" w:rsidRDefault="00417C8D" w:rsidP="00993B62">
      <w:pPr>
        <w:pStyle w:val="2222"/>
        <w:numPr>
          <w:ilvl w:val="0"/>
          <w:numId w:val="13"/>
        </w:numPr>
        <w:spacing w:after="120" w:line="288" w:lineRule="auto"/>
        <w:ind w:left="426" w:firstLineChars="0" w:hanging="426"/>
        <w:rPr>
          <w:rFonts w:eastAsia="MS Mincho"/>
          <w:bCs/>
          <w:sz w:val="22"/>
          <w:szCs w:val="22"/>
          <w:lang w:eastAsia="ja-JP"/>
        </w:rPr>
      </w:pPr>
      <w:r>
        <w:rPr>
          <w:rFonts w:eastAsia="MS Mincho"/>
          <w:bCs/>
          <w:sz w:val="22"/>
          <w:szCs w:val="22"/>
          <w:lang w:eastAsia="ja-JP"/>
        </w:rPr>
        <w:t>ITU-R, “Recommendation ITU-R P.833-9: Attenuation in vegetation,” Sept. 2016.</w:t>
      </w:r>
    </w:p>
    <w:p w14:paraId="3964F5ED"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40F61" w14:textId="77777777" w:rsidR="005C2923" w:rsidRPr="00C47AD2" w:rsidRDefault="005C2923">
      <w:pPr>
        <w:rPr>
          <w:rFonts w:ascii="Arial" w:hAnsi="Arial"/>
          <w:sz w:val="12"/>
        </w:rPr>
      </w:pPr>
      <w:r>
        <w:separator/>
      </w:r>
    </w:p>
  </w:endnote>
  <w:endnote w:type="continuationSeparator" w:id="0">
    <w:p w14:paraId="79BAA8F8" w14:textId="77777777" w:rsidR="005C2923" w:rsidRPr="00C47AD2" w:rsidRDefault="005C292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6F157F18" w:rsidR="001514D4" w:rsidRDefault="001514D4">
    <w:pPr>
      <w:pStyle w:val="a5"/>
    </w:pPr>
    <w:r>
      <w:fldChar w:fldCharType="begin"/>
    </w:r>
    <w:r>
      <w:instrText xml:space="preserve"> PAGE   \* MERGEFORMAT </w:instrText>
    </w:r>
    <w:r>
      <w:fldChar w:fldCharType="separate"/>
    </w:r>
    <w:r w:rsidR="00326077">
      <w:t>1</w:t>
    </w:r>
    <w:r>
      <w:fldChar w:fldCharType="end"/>
    </w:r>
  </w:p>
  <w:p w14:paraId="45CA142C"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4A36E" w14:textId="77777777" w:rsidR="005C2923" w:rsidRPr="00C47AD2" w:rsidRDefault="005C2923">
      <w:pPr>
        <w:rPr>
          <w:rFonts w:ascii="Arial" w:hAnsi="Arial"/>
          <w:sz w:val="12"/>
        </w:rPr>
      </w:pPr>
      <w:r>
        <w:separator/>
      </w:r>
    </w:p>
  </w:footnote>
  <w:footnote w:type="continuationSeparator" w:id="0">
    <w:p w14:paraId="3036346E" w14:textId="77777777" w:rsidR="005C2923" w:rsidRPr="00C47AD2" w:rsidRDefault="005C2923">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5"/>
  </w:num>
  <w:num w:numId="6">
    <w:abstractNumId w:val="45"/>
  </w:num>
  <w:num w:numId="7">
    <w:abstractNumId w:val="27"/>
  </w:num>
  <w:num w:numId="8">
    <w:abstractNumId w:val="23"/>
  </w:num>
  <w:num w:numId="9">
    <w:abstractNumId w:val="43"/>
  </w:num>
  <w:num w:numId="10">
    <w:abstractNumId w:val="3"/>
  </w:num>
  <w:num w:numId="11">
    <w:abstractNumId w:val="9"/>
  </w:num>
  <w:num w:numId="12">
    <w:abstractNumId w:val="44"/>
  </w:num>
  <w:num w:numId="13">
    <w:abstractNumId w:val="2"/>
  </w:num>
  <w:num w:numId="14">
    <w:abstractNumId w:val="20"/>
  </w:num>
  <w:num w:numId="15">
    <w:abstractNumId w:val="7"/>
  </w:num>
  <w:num w:numId="16">
    <w:abstractNumId w:val="36"/>
  </w:num>
  <w:num w:numId="17">
    <w:abstractNumId w:val="4"/>
  </w:num>
  <w:num w:numId="18">
    <w:abstractNumId w:val="29"/>
  </w:num>
  <w:num w:numId="19">
    <w:abstractNumId w:val="41"/>
  </w:num>
  <w:num w:numId="20">
    <w:abstractNumId w:val="11"/>
  </w:num>
  <w:num w:numId="21">
    <w:abstractNumId w:val="33"/>
  </w:num>
  <w:num w:numId="22">
    <w:abstractNumId w:val="6"/>
  </w:num>
  <w:num w:numId="23">
    <w:abstractNumId w:val="24"/>
  </w:num>
  <w:num w:numId="24">
    <w:abstractNumId w:val="35"/>
  </w:num>
  <w:num w:numId="25">
    <w:abstractNumId w:val="10"/>
  </w:num>
  <w:num w:numId="26">
    <w:abstractNumId w:val="18"/>
  </w:num>
  <w:num w:numId="27">
    <w:abstractNumId w:val="12"/>
  </w:num>
  <w:num w:numId="28">
    <w:abstractNumId w:val="37"/>
  </w:num>
  <w:num w:numId="29">
    <w:abstractNumId w:val="39"/>
  </w:num>
  <w:num w:numId="30">
    <w:abstractNumId w:val="22"/>
  </w:num>
  <w:num w:numId="31">
    <w:abstractNumId w:val="38"/>
  </w:num>
  <w:num w:numId="32">
    <w:abstractNumId w:val="26"/>
  </w:num>
  <w:num w:numId="33">
    <w:abstractNumId w:val="13"/>
  </w:num>
  <w:num w:numId="34">
    <w:abstractNumId w:val="40"/>
  </w:num>
  <w:num w:numId="35">
    <w:abstractNumId w:val="32"/>
  </w:num>
  <w:num w:numId="36">
    <w:abstractNumId w:val="31"/>
  </w:num>
  <w:num w:numId="37">
    <w:abstractNumId w:val="15"/>
  </w:num>
  <w:num w:numId="38">
    <w:abstractNumId w:val="5"/>
  </w:num>
  <w:num w:numId="39">
    <w:abstractNumId w:val="28"/>
  </w:num>
  <w:num w:numId="40">
    <w:abstractNumId w:val="1"/>
  </w:num>
  <w:num w:numId="41">
    <w:abstractNumId w:val="17"/>
  </w:num>
  <w:num w:numId="42">
    <w:abstractNumId w:val="34"/>
  </w:num>
  <w:num w:numId="43">
    <w:abstractNumId w:val="19"/>
  </w:num>
  <w:num w:numId="44">
    <w:abstractNumId w:val="30"/>
  </w:num>
  <w:num w:numId="45">
    <w:abstractNumId w:val="8"/>
  </w:num>
  <w:num w:numId="4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7B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6964"/>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B1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5AE"/>
    <w:rsid w:val="000E6699"/>
    <w:rsid w:val="000E6766"/>
    <w:rsid w:val="000E6C69"/>
    <w:rsid w:val="000E6D80"/>
    <w:rsid w:val="000E6F6A"/>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126"/>
    <w:rsid w:val="00114815"/>
    <w:rsid w:val="00114896"/>
    <w:rsid w:val="00114A30"/>
    <w:rsid w:val="00114A86"/>
    <w:rsid w:val="00114AFD"/>
    <w:rsid w:val="00115526"/>
    <w:rsid w:val="001155CC"/>
    <w:rsid w:val="00115766"/>
    <w:rsid w:val="001158A0"/>
    <w:rsid w:val="00115A50"/>
    <w:rsid w:val="00115CCD"/>
    <w:rsid w:val="0011605B"/>
    <w:rsid w:val="00116143"/>
    <w:rsid w:val="001163FB"/>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B63"/>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07"/>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349"/>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942"/>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628"/>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1C5A"/>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1B18"/>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BFC"/>
    <w:rsid w:val="00291E29"/>
    <w:rsid w:val="00291F57"/>
    <w:rsid w:val="002926D1"/>
    <w:rsid w:val="00292D71"/>
    <w:rsid w:val="00292F9C"/>
    <w:rsid w:val="002931EC"/>
    <w:rsid w:val="0029324A"/>
    <w:rsid w:val="00293369"/>
    <w:rsid w:val="00293469"/>
    <w:rsid w:val="002934E4"/>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12A"/>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077"/>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92"/>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31"/>
    <w:rsid w:val="0037347B"/>
    <w:rsid w:val="0037347F"/>
    <w:rsid w:val="00373520"/>
    <w:rsid w:val="003735F1"/>
    <w:rsid w:val="00373784"/>
    <w:rsid w:val="00373834"/>
    <w:rsid w:val="00373C32"/>
    <w:rsid w:val="00373F93"/>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28D"/>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449"/>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872"/>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708"/>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402"/>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4FFB"/>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C8D"/>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2E9"/>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BC5"/>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4E9D"/>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1F36"/>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15"/>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C1B"/>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2E30"/>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A3C"/>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923"/>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598"/>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75C"/>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7BC"/>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735"/>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035"/>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CB8"/>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23D"/>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1CE9"/>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1ED0"/>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0E"/>
    <w:rsid w:val="006C299E"/>
    <w:rsid w:val="006C2BAD"/>
    <w:rsid w:val="006C2CFB"/>
    <w:rsid w:val="006C2FDA"/>
    <w:rsid w:val="006C34F0"/>
    <w:rsid w:val="006C35E4"/>
    <w:rsid w:val="006C3D11"/>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7D"/>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B2B"/>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8F0"/>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304"/>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2A28"/>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E3B"/>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AD"/>
    <w:rsid w:val="008313DF"/>
    <w:rsid w:val="00831848"/>
    <w:rsid w:val="00831FBD"/>
    <w:rsid w:val="00832747"/>
    <w:rsid w:val="00832D17"/>
    <w:rsid w:val="0083398B"/>
    <w:rsid w:val="00833C8E"/>
    <w:rsid w:val="00834098"/>
    <w:rsid w:val="00834215"/>
    <w:rsid w:val="00834419"/>
    <w:rsid w:val="0083470D"/>
    <w:rsid w:val="0083476C"/>
    <w:rsid w:val="0083530E"/>
    <w:rsid w:val="008359D9"/>
    <w:rsid w:val="00835CE3"/>
    <w:rsid w:val="00835E55"/>
    <w:rsid w:val="00836304"/>
    <w:rsid w:val="00836540"/>
    <w:rsid w:val="00836747"/>
    <w:rsid w:val="00836A62"/>
    <w:rsid w:val="00837415"/>
    <w:rsid w:val="008376B8"/>
    <w:rsid w:val="008378E3"/>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24B5"/>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27C"/>
    <w:rsid w:val="008B6390"/>
    <w:rsid w:val="008B65B0"/>
    <w:rsid w:val="008B6A4C"/>
    <w:rsid w:val="008B6A8C"/>
    <w:rsid w:val="008B6CB1"/>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0C91"/>
    <w:rsid w:val="008D11F7"/>
    <w:rsid w:val="008D14AB"/>
    <w:rsid w:val="008D14BF"/>
    <w:rsid w:val="008D1634"/>
    <w:rsid w:val="008D174D"/>
    <w:rsid w:val="008D17EA"/>
    <w:rsid w:val="008D1980"/>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CB5"/>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008"/>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EB9"/>
    <w:rsid w:val="009F40D1"/>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37B"/>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B78F7"/>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CA5"/>
    <w:rsid w:val="00B07EFF"/>
    <w:rsid w:val="00B10037"/>
    <w:rsid w:val="00B10119"/>
    <w:rsid w:val="00B10A09"/>
    <w:rsid w:val="00B10BAB"/>
    <w:rsid w:val="00B10F79"/>
    <w:rsid w:val="00B11567"/>
    <w:rsid w:val="00B11608"/>
    <w:rsid w:val="00B11610"/>
    <w:rsid w:val="00B11765"/>
    <w:rsid w:val="00B11A39"/>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4983"/>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082"/>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7C2"/>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C78"/>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1E42"/>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C0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1B77"/>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64E"/>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619"/>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9DF"/>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B89"/>
    <w:rsid w:val="00C80F16"/>
    <w:rsid w:val="00C81501"/>
    <w:rsid w:val="00C8168E"/>
    <w:rsid w:val="00C8181D"/>
    <w:rsid w:val="00C81AC3"/>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37C"/>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35B"/>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B8"/>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A"/>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17"/>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2F7C"/>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9B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805"/>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392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9D7"/>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73"/>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1B3"/>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4DB"/>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481"/>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2AD"/>
    <w:rsid w:val="00FB11A5"/>
    <w:rsid w:val="00FB12B9"/>
    <w:rsid w:val="00FB15E3"/>
    <w:rsid w:val="00FB1E06"/>
    <w:rsid w:val="00FB1E88"/>
    <w:rsid w:val="00FB2375"/>
    <w:rsid w:val="00FB2415"/>
    <w:rsid w:val="00FB2D43"/>
    <w:rsid w:val="00FB30E6"/>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F0FA0D8E-D10A-4A74-AD4B-FEB98CA04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ê¥¹¥È¶ÎÂä Char,列表段落1 Char,—ño’i—Ž Char,1st level - Bullet List Paragraph Char"/>
    <w:link w:val="aff3"/>
    <w:uiPriority w:val="34"/>
    <w:qFormat/>
    <w:locked/>
    <w:rsid w:val="00E331B9"/>
    <w:rPr>
      <w:lang w:eastAsia="en-US"/>
    </w:rPr>
  </w:style>
  <w:style w:type="paragraph" w:styleId="aff3">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character" w:styleId="aff4">
    <w:name w:val="Placeholder Text"/>
    <w:basedOn w:val="a1"/>
    <w:uiPriority w:val="99"/>
    <w:semiHidden/>
    <w:rsid w:val="00D503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DCFDA-EB21-4BA6-8B5D-AE30BB1D9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2325</Words>
  <Characters>13256</Characters>
  <Application>Microsoft Office Word</Application>
  <DocSecurity>0</DocSecurity>
  <Lines>110</Lines>
  <Paragraphs>31</Paragraphs>
  <ScaleCrop>false</ScaleCrop>
  <HeadingPairs>
    <vt:vector size="6" baseType="variant">
      <vt:variant>
        <vt:lpstr>제목</vt:lpstr>
      </vt:variant>
      <vt:variant>
        <vt:i4>1</vt:i4>
      </vt:variant>
      <vt:variant>
        <vt:lpstr>머리글</vt:lpstr>
      </vt:variant>
      <vt:variant>
        <vt:i4>14</vt:i4>
      </vt:variant>
      <vt:variant>
        <vt:lpstr>Title</vt:lpstr>
      </vt:variant>
      <vt:variant>
        <vt:i4>1</vt:i4>
      </vt:variant>
    </vt:vector>
  </HeadingPairs>
  <TitlesOfParts>
    <vt:vector size="16" baseType="lpstr">
      <vt:lpstr>3GPP TSG RAN WG1 #70</vt:lpstr>
      <vt:lpstr>Introduction</vt:lpstr>
      <vt:lpstr>Discussion on possible enhancements</vt:lpstr>
      <vt:lpstr>Additional evaluation assumption</vt:lpstr>
      <vt:lpstr>Power control issues</vt:lpstr>
      <vt:lpstr>DL Doppler pre-compensation</vt:lpstr>
      <vt:lpstr>PRACH resource allocation</vt:lpstr>
      <vt:lpstr>        </vt:lpstr>
      <vt:lpstr>        Observation 7: If PRACH preamble transmissions from GNSS-aware UEs do not interf</vt:lpstr>
      <vt:lpstr>        </vt:lpstr>
      <vt:lpstr>        PRACH resources for GNSS-aware and GNSS-challenged UEs can be indicated by syste</vt:lpstr>
      <vt:lpstr>        </vt:lpstr>
      <vt:lpstr>Spot beam switching via BWP </vt:lpstr>
      <vt:lpstr>Conclusions </vt:lpstr>
      <vt:lpstr>References</vt:lpstr>
      <vt:lpstr>3GPP TSG RAN WG1 #70</vt:lpstr>
    </vt:vector>
  </TitlesOfParts>
  <Company>Samsung</Company>
  <LinksUpToDate>false</LinksUpToDate>
  <CharactersWithSpaces>15550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여정호/표준연구팀(SR)/Staff Engineer/삼성전자</cp:lastModifiedBy>
  <cp:revision>38</cp:revision>
  <cp:lastPrinted>2010-04-04T18:18:00Z</cp:lastPrinted>
  <dcterms:created xsi:type="dcterms:W3CDTF">2020-10-23T05:49:00Z</dcterms:created>
  <dcterms:modified xsi:type="dcterms:W3CDTF">2021-11-05T04:20:00Z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